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E699" w14:textId="48930F0C" w:rsidR="00A56D36" w:rsidRPr="00A56D36" w:rsidRDefault="00A56D36" w:rsidP="00A56D36">
      <w:pPr>
        <w:ind w:left="0" w:firstLine="0"/>
        <w:jc w:val="center"/>
        <w:rPr>
          <w:sz w:val="44"/>
          <w:szCs w:val="44"/>
        </w:rPr>
      </w:pPr>
      <w:r w:rsidRPr="00A56D36">
        <w:rPr>
          <w:sz w:val="44"/>
          <w:szCs w:val="44"/>
        </w:rPr>
        <w:t>E06.</w:t>
      </w:r>
      <w:r w:rsidR="0001315D">
        <w:rPr>
          <w:sz w:val="44"/>
          <w:szCs w:val="44"/>
        </w:rPr>
        <w:t>10</w:t>
      </w:r>
      <w:r w:rsidRPr="00A56D36">
        <w:rPr>
          <w:sz w:val="44"/>
          <w:szCs w:val="44"/>
        </w:rPr>
        <w:t xml:space="preserve"> </w:t>
      </w:r>
      <w:r w:rsidRPr="00A56D36">
        <w:rPr>
          <w:sz w:val="44"/>
          <w:szCs w:val="44"/>
          <w:lang w:val="el-GR"/>
        </w:rPr>
        <w:t>Ἀθηναίων πολιτεία 38,</w:t>
      </w:r>
      <w:r w:rsidRPr="00A56D36">
        <w:rPr>
          <w:sz w:val="44"/>
          <w:szCs w:val="44"/>
        </w:rPr>
        <w:t xml:space="preserve">2 - </w:t>
      </w:r>
      <w:r w:rsidR="00C33818">
        <w:rPr>
          <w:sz w:val="44"/>
          <w:szCs w:val="44"/>
        </w:rPr>
        <w:t>40</w:t>
      </w:r>
    </w:p>
    <w:p w14:paraId="773AE8C7" w14:textId="058A6A67" w:rsidR="00AF437D" w:rsidRDefault="00F44823" w:rsidP="00AF437D">
      <w:pPr>
        <w:ind w:left="0" w:firstLine="0"/>
        <w:rPr>
          <w:lang w:val="el-GR"/>
        </w:rPr>
      </w:pPr>
      <w:r w:rsidRPr="00A56D36">
        <w:rPr>
          <w:lang w:val="el-GR"/>
        </w:rPr>
        <w:t>ἐπὶ</w:t>
      </w:r>
      <w:r w:rsidRPr="0001315D">
        <w:t xml:space="preserve"> </w:t>
      </w:r>
      <w:r w:rsidRPr="00A56D36">
        <w:rPr>
          <w:lang w:val="el-GR"/>
        </w:rPr>
        <w:t>πέρας</w:t>
      </w:r>
      <w:r w:rsidRPr="0001315D">
        <w:t xml:space="preserve"> </w:t>
      </w:r>
      <w:r w:rsidRPr="00A56D36">
        <w:rPr>
          <w:lang w:val="el-GR"/>
        </w:rPr>
        <w:t>γὰρ</w:t>
      </w:r>
      <w:r w:rsidRPr="0001315D">
        <w:t xml:space="preserve"> </w:t>
      </w:r>
      <w:r w:rsidRPr="00A56D36">
        <w:rPr>
          <w:lang w:val="el-GR"/>
        </w:rPr>
        <w:t>ἤγαγε</w:t>
      </w:r>
      <w:r w:rsidRPr="0001315D">
        <w:t xml:space="preserve"> </w:t>
      </w:r>
      <w:r w:rsidRPr="00A56D36">
        <w:rPr>
          <w:lang w:val="el-GR"/>
        </w:rPr>
        <w:t>τὴν</w:t>
      </w:r>
      <w:r w:rsidRPr="0001315D">
        <w:t xml:space="preserve"> </w:t>
      </w:r>
      <w:r w:rsidRPr="00A56D36">
        <w:rPr>
          <w:lang w:val="el-GR"/>
        </w:rPr>
        <w:t>εἰρήνην</w:t>
      </w:r>
      <w:r w:rsidRPr="0001315D">
        <w:t xml:space="preserve"> </w:t>
      </w:r>
      <w:r w:rsidRPr="00A56D36">
        <w:rPr>
          <w:lang w:val="el-GR"/>
        </w:rPr>
        <w:t>καὶ</w:t>
      </w:r>
      <w:r w:rsidRPr="0001315D">
        <w:t xml:space="preserve"> </w:t>
      </w:r>
      <w:r w:rsidRPr="00A56D36">
        <w:rPr>
          <w:lang w:val="el-GR"/>
        </w:rPr>
        <w:t>τὰς</w:t>
      </w:r>
      <w:r w:rsidRPr="0001315D">
        <w:t xml:space="preserve"> </w:t>
      </w:r>
      <w:r w:rsidRPr="00A56D36">
        <w:rPr>
          <w:lang w:val="el-GR"/>
        </w:rPr>
        <w:t>διαλύσεις</w:t>
      </w:r>
      <w:r w:rsidRPr="0001315D">
        <w:t xml:space="preserve"> </w:t>
      </w:r>
      <w:r w:rsidRPr="00A56D36">
        <w:rPr>
          <w:lang w:val="el-GR"/>
        </w:rPr>
        <w:t>Παυσανίας</w:t>
      </w:r>
      <w:r w:rsidRPr="0001315D">
        <w:t xml:space="preserve"> </w:t>
      </w:r>
      <w:r w:rsidRPr="00A56D36">
        <w:rPr>
          <w:lang w:val="el-GR"/>
        </w:rPr>
        <w:t>ὁ</w:t>
      </w:r>
      <w:r w:rsidRPr="0001315D">
        <w:t xml:space="preserve"> </w:t>
      </w:r>
      <w:r w:rsidRPr="00A56D36">
        <w:rPr>
          <w:lang w:val="el-GR"/>
        </w:rPr>
        <w:t>τῶν</w:t>
      </w:r>
      <w:r w:rsidRPr="0001315D">
        <w:t xml:space="preserve"> </w:t>
      </w:r>
      <w:r w:rsidRPr="00A56D36">
        <w:rPr>
          <w:lang w:val="el-GR"/>
        </w:rPr>
        <w:t>Λακεδαιμονίων</w:t>
      </w:r>
      <w:r w:rsidRPr="0001315D">
        <w:t xml:space="preserve"> </w:t>
      </w:r>
      <w:r w:rsidRPr="00A56D36">
        <w:rPr>
          <w:lang w:val="el-GR"/>
        </w:rPr>
        <w:t>βασιλεύς</w:t>
      </w:r>
      <w:r w:rsidRPr="0001315D">
        <w:t xml:space="preserve">, </w:t>
      </w:r>
      <w:r w:rsidRPr="00A56D36">
        <w:rPr>
          <w:lang w:val="el-GR"/>
        </w:rPr>
        <w:t>μετὰ</w:t>
      </w:r>
      <w:r w:rsidRPr="0001315D">
        <w:t xml:space="preserve"> </w:t>
      </w:r>
      <w:r w:rsidRPr="00A56D36">
        <w:rPr>
          <w:lang w:val="el-GR"/>
        </w:rPr>
        <w:t>τῶν</w:t>
      </w:r>
      <w:r w:rsidRPr="0001315D">
        <w:t xml:space="preserve"> </w:t>
      </w:r>
      <w:r w:rsidRPr="00A56D36">
        <w:rPr>
          <w:lang w:val="el-GR"/>
        </w:rPr>
        <w:t>δέκα</w:t>
      </w:r>
      <w:r w:rsidRPr="0001315D">
        <w:t xml:space="preserve"> </w:t>
      </w:r>
      <w:r w:rsidRPr="00A56D36">
        <w:rPr>
          <w:lang w:val="el-GR"/>
        </w:rPr>
        <w:t>διαλλακτῶν</w:t>
      </w:r>
      <w:r w:rsidRPr="0001315D">
        <w:t xml:space="preserve"> </w:t>
      </w:r>
      <w:r w:rsidRPr="00A56D36">
        <w:rPr>
          <w:lang w:val="el-GR"/>
        </w:rPr>
        <w:t>τῶν</w:t>
      </w:r>
      <w:r w:rsidRPr="0001315D">
        <w:t xml:space="preserve"> </w:t>
      </w:r>
      <w:r w:rsidRPr="00A56D36">
        <w:rPr>
          <w:lang w:val="el-GR"/>
        </w:rPr>
        <w:t>ὕστερον</w:t>
      </w:r>
      <w:r w:rsidRPr="0001315D">
        <w:t xml:space="preserve"> </w:t>
      </w:r>
      <w:r w:rsidRPr="00A56D36">
        <w:rPr>
          <w:lang w:val="el-GR"/>
        </w:rPr>
        <w:t>ἀφικομένων</w:t>
      </w:r>
      <w:r w:rsidRPr="0001315D">
        <w:t xml:space="preserve"> </w:t>
      </w:r>
      <w:r w:rsidRPr="00A56D36">
        <w:rPr>
          <w:lang w:val="el-GR"/>
        </w:rPr>
        <w:t>ἐκ</w:t>
      </w:r>
      <w:r w:rsidRPr="0001315D">
        <w:t xml:space="preserve"> </w:t>
      </w:r>
      <w:r w:rsidRPr="00A56D36">
        <w:rPr>
          <w:lang w:val="el-GR"/>
        </w:rPr>
        <w:t>Λακεδαίμονος</w:t>
      </w:r>
      <w:r w:rsidRPr="0001315D">
        <w:t xml:space="preserve">, </w:t>
      </w:r>
      <w:r w:rsidRPr="00A56D36">
        <w:rPr>
          <w:lang w:val="el-GR"/>
        </w:rPr>
        <w:t>οὓς</w:t>
      </w:r>
      <w:r w:rsidRPr="0001315D">
        <w:t xml:space="preserve"> </w:t>
      </w:r>
      <w:r w:rsidRPr="00A56D36">
        <w:rPr>
          <w:lang w:val="el-GR"/>
        </w:rPr>
        <w:t>αὐτὸς</w:t>
      </w:r>
      <w:r w:rsidRPr="0001315D">
        <w:t xml:space="preserve"> </w:t>
      </w:r>
      <w:r w:rsidRPr="00A56D36">
        <w:rPr>
          <w:lang w:val="el-GR"/>
        </w:rPr>
        <w:t>ἐσπούδασεν</w:t>
      </w:r>
      <w:r w:rsidRPr="0001315D">
        <w:t xml:space="preserve"> </w:t>
      </w:r>
      <w:r w:rsidRPr="00A56D36">
        <w:rPr>
          <w:lang w:val="el-GR"/>
        </w:rPr>
        <w:t>ἐλθεῖν</w:t>
      </w:r>
      <w:r w:rsidRPr="0001315D">
        <w:t xml:space="preserve">· </w:t>
      </w:r>
      <w:r w:rsidRPr="00A56D36">
        <w:rPr>
          <w:lang w:val="el-GR"/>
        </w:rPr>
        <w:t>οἱ</w:t>
      </w:r>
      <w:r w:rsidRPr="0001315D">
        <w:t xml:space="preserve"> </w:t>
      </w:r>
      <w:r w:rsidRPr="00A56D36">
        <w:rPr>
          <w:lang w:val="el-GR"/>
        </w:rPr>
        <w:t>δὲ</w:t>
      </w:r>
      <w:r w:rsidRPr="0001315D">
        <w:t xml:space="preserve"> </w:t>
      </w:r>
      <w:r w:rsidRPr="00A56D36">
        <w:rPr>
          <w:lang w:val="el-GR"/>
        </w:rPr>
        <w:t>περὶ</w:t>
      </w:r>
      <w:r w:rsidRPr="0001315D">
        <w:t xml:space="preserve"> </w:t>
      </w:r>
      <w:r w:rsidRPr="00A56D36">
        <w:rPr>
          <w:lang w:val="el-GR"/>
        </w:rPr>
        <w:t>τὸν</w:t>
      </w:r>
      <w:r w:rsidRPr="0001315D">
        <w:t xml:space="preserve"> </w:t>
      </w:r>
      <w:r w:rsidRPr="00A56D36">
        <w:rPr>
          <w:lang w:val="el-GR"/>
        </w:rPr>
        <w:t>Ῥίνωνα</w:t>
      </w:r>
      <w:r w:rsidRPr="0001315D">
        <w:t xml:space="preserve"> </w:t>
      </w:r>
      <w:r w:rsidRPr="00A56D36">
        <w:rPr>
          <w:lang w:val="el-GR"/>
        </w:rPr>
        <w:t>διά</w:t>
      </w:r>
      <w:r w:rsidRPr="0001315D">
        <w:t xml:space="preserve"> </w:t>
      </w:r>
      <w:r w:rsidRPr="00A56D36">
        <w:rPr>
          <w:lang w:val="el-GR"/>
        </w:rPr>
        <w:t>τε</w:t>
      </w:r>
      <w:r w:rsidRPr="0001315D">
        <w:t xml:space="preserve"> </w:t>
      </w:r>
      <w:r w:rsidRPr="00A56D36">
        <w:rPr>
          <w:lang w:val="el-GR"/>
        </w:rPr>
        <w:t>τὴν</w:t>
      </w:r>
      <w:r w:rsidRPr="0001315D">
        <w:t xml:space="preserve"> </w:t>
      </w:r>
      <w:r w:rsidRPr="00A56D36">
        <w:rPr>
          <w:lang w:val="el-GR"/>
        </w:rPr>
        <w:t>εὔνοιαν</w:t>
      </w:r>
      <w:r w:rsidRPr="0001315D">
        <w:t xml:space="preserve"> </w:t>
      </w:r>
      <w:r w:rsidRPr="00A56D36">
        <w:rPr>
          <w:lang w:val="el-GR"/>
        </w:rPr>
        <w:t>τὴν</w:t>
      </w:r>
      <w:r w:rsidRPr="0001315D">
        <w:t xml:space="preserve"> </w:t>
      </w:r>
      <w:r w:rsidRPr="00A56D36">
        <w:rPr>
          <w:lang w:val="el-GR"/>
        </w:rPr>
        <w:t>εἰς</w:t>
      </w:r>
      <w:r w:rsidRPr="0001315D">
        <w:t xml:space="preserve"> </w:t>
      </w:r>
      <w:r w:rsidRPr="00A56D36">
        <w:rPr>
          <w:lang w:val="el-GR"/>
        </w:rPr>
        <w:t>τὸν</w:t>
      </w:r>
      <w:r w:rsidRPr="0001315D">
        <w:t xml:space="preserve"> </w:t>
      </w:r>
      <w:r w:rsidRPr="00A56D36">
        <w:rPr>
          <w:lang w:val="el-GR"/>
        </w:rPr>
        <w:t>δῆμον</w:t>
      </w:r>
      <w:r w:rsidRPr="0001315D">
        <w:t xml:space="preserve"> </w:t>
      </w:r>
      <w:r w:rsidRPr="00A56D36">
        <w:rPr>
          <w:lang w:val="el-GR"/>
        </w:rPr>
        <w:t>ἐπῃνέθησαν</w:t>
      </w:r>
      <w:r w:rsidRPr="0001315D">
        <w:t xml:space="preserve">, </w:t>
      </w:r>
      <w:r w:rsidRPr="00A56D36">
        <w:rPr>
          <w:lang w:val="el-GR"/>
        </w:rPr>
        <w:t>καὶ</w:t>
      </w:r>
      <w:r w:rsidRPr="0001315D">
        <w:t xml:space="preserve"> </w:t>
      </w:r>
      <w:r w:rsidRPr="00A56D36">
        <w:rPr>
          <w:lang w:val="el-GR"/>
        </w:rPr>
        <w:t>λαβόντες</w:t>
      </w:r>
      <w:r w:rsidRPr="0001315D">
        <w:t xml:space="preserve"> </w:t>
      </w:r>
      <w:r w:rsidRPr="00A56D36">
        <w:rPr>
          <w:lang w:val="el-GR"/>
        </w:rPr>
        <w:t>τὴν</w:t>
      </w:r>
      <w:r w:rsidRPr="0001315D">
        <w:t xml:space="preserve"> </w:t>
      </w:r>
      <w:r w:rsidRPr="00A56D36">
        <w:rPr>
          <w:lang w:val="el-GR"/>
        </w:rPr>
        <w:t>ἐπιμέλειαν</w:t>
      </w:r>
      <w:r w:rsidRPr="0001315D">
        <w:t xml:space="preserve"> </w:t>
      </w:r>
      <w:r w:rsidRPr="00A56D36">
        <w:rPr>
          <w:lang w:val="el-GR"/>
        </w:rPr>
        <w:t>ἐν</w:t>
      </w:r>
      <w:r w:rsidRPr="0001315D">
        <w:t xml:space="preserve"> </w:t>
      </w:r>
      <w:r w:rsidRPr="00A56D36">
        <w:rPr>
          <w:lang w:val="el-GR"/>
        </w:rPr>
        <w:t>ὀλιγαρχίᾳ</w:t>
      </w:r>
      <w:r w:rsidRPr="0001315D">
        <w:t xml:space="preserve">, </w:t>
      </w:r>
      <w:r w:rsidRPr="00A56D36">
        <w:rPr>
          <w:lang w:val="el-GR"/>
        </w:rPr>
        <w:t>τὰς</w:t>
      </w:r>
      <w:r w:rsidRPr="0001315D">
        <w:t xml:space="preserve"> </w:t>
      </w:r>
      <w:r w:rsidRPr="00A56D36">
        <w:rPr>
          <w:lang w:val="el-GR"/>
        </w:rPr>
        <w:t>εὐθύνας</w:t>
      </w:r>
      <w:r w:rsidRPr="0001315D">
        <w:t xml:space="preserve"> </w:t>
      </w:r>
      <w:r w:rsidRPr="00A56D36">
        <w:rPr>
          <w:lang w:val="el-GR"/>
        </w:rPr>
        <w:t>ἔδοσαν</w:t>
      </w:r>
      <w:r w:rsidRPr="0001315D">
        <w:t xml:space="preserve"> </w:t>
      </w:r>
      <w:r w:rsidRPr="00A56D36">
        <w:rPr>
          <w:lang w:val="el-GR"/>
        </w:rPr>
        <w:t>ἐν</w:t>
      </w:r>
      <w:r w:rsidRPr="0001315D">
        <w:t xml:space="preserve"> </w:t>
      </w:r>
      <w:r w:rsidRPr="00A56D36">
        <w:rPr>
          <w:lang w:val="el-GR"/>
        </w:rPr>
        <w:t>δημοκρατίᾳ</w:t>
      </w:r>
      <w:r w:rsidRPr="0001315D">
        <w:t xml:space="preserve">, </w:t>
      </w:r>
      <w:r w:rsidRPr="00A56D36">
        <w:rPr>
          <w:lang w:val="el-GR"/>
        </w:rPr>
        <w:t>καὶ</w:t>
      </w:r>
      <w:r w:rsidRPr="0001315D">
        <w:t xml:space="preserve"> </w:t>
      </w:r>
      <w:r w:rsidRPr="00A56D36">
        <w:rPr>
          <w:lang w:val="el-GR"/>
        </w:rPr>
        <w:t>οὐδεὶς</w:t>
      </w:r>
      <w:r w:rsidRPr="0001315D">
        <w:t xml:space="preserve"> </w:t>
      </w:r>
      <w:r w:rsidRPr="00A56D36">
        <w:rPr>
          <w:lang w:val="el-GR"/>
        </w:rPr>
        <w:t>οὐδὲν</w:t>
      </w:r>
      <w:r w:rsidRPr="0001315D">
        <w:t xml:space="preserve"> </w:t>
      </w:r>
      <w:r w:rsidRPr="00A56D36">
        <w:rPr>
          <w:lang w:val="el-GR"/>
        </w:rPr>
        <w:t>ἐνεκάλεσεν</w:t>
      </w:r>
      <w:r w:rsidRPr="0001315D">
        <w:t xml:space="preserve"> </w:t>
      </w:r>
      <w:r w:rsidRPr="00A56D36">
        <w:rPr>
          <w:lang w:val="el-GR"/>
        </w:rPr>
        <w:t>αὐτοῖς</w:t>
      </w:r>
      <w:r w:rsidRPr="0001315D">
        <w:t xml:space="preserve">, </w:t>
      </w:r>
      <w:r w:rsidRPr="00A56D36">
        <w:rPr>
          <w:lang w:val="el-GR"/>
        </w:rPr>
        <w:t>οὔτε</w:t>
      </w:r>
      <w:r w:rsidRPr="0001315D">
        <w:t xml:space="preserve"> </w:t>
      </w:r>
      <w:r w:rsidRPr="00A56D36">
        <w:rPr>
          <w:lang w:val="el-GR"/>
        </w:rPr>
        <w:t>τῶν</w:t>
      </w:r>
      <w:r w:rsidRPr="0001315D">
        <w:t xml:space="preserve"> </w:t>
      </w:r>
      <w:r w:rsidRPr="00A56D36">
        <w:rPr>
          <w:lang w:val="el-GR"/>
        </w:rPr>
        <w:t>ἐν</w:t>
      </w:r>
      <w:r w:rsidRPr="0001315D">
        <w:t xml:space="preserve"> </w:t>
      </w:r>
      <w:r w:rsidRPr="00A56D36">
        <w:rPr>
          <w:lang w:val="el-GR"/>
        </w:rPr>
        <w:t>ἄστει</w:t>
      </w:r>
      <w:r w:rsidRPr="0001315D">
        <w:t xml:space="preserve"> </w:t>
      </w:r>
      <w:r w:rsidRPr="00A56D36">
        <w:rPr>
          <w:lang w:val="el-GR"/>
        </w:rPr>
        <w:t>μεινάντων</w:t>
      </w:r>
      <w:r w:rsidRPr="0001315D">
        <w:t xml:space="preserve">, </w:t>
      </w:r>
      <w:r w:rsidRPr="00A56D36">
        <w:rPr>
          <w:lang w:val="el-GR"/>
        </w:rPr>
        <w:t>οὔτε</w:t>
      </w:r>
      <w:r w:rsidRPr="0001315D">
        <w:t xml:space="preserve"> </w:t>
      </w:r>
      <w:r w:rsidRPr="00A56D36">
        <w:rPr>
          <w:lang w:val="el-GR"/>
        </w:rPr>
        <w:t>τῶν</w:t>
      </w:r>
      <w:r w:rsidRPr="0001315D">
        <w:t xml:space="preserve"> </w:t>
      </w:r>
      <w:r w:rsidRPr="00A56D36">
        <w:rPr>
          <w:lang w:val="el-GR"/>
        </w:rPr>
        <w:t>ἐκ</w:t>
      </w:r>
      <w:r w:rsidRPr="0001315D">
        <w:t xml:space="preserve"> </w:t>
      </w:r>
      <w:r w:rsidRPr="00A56D36">
        <w:rPr>
          <w:lang w:val="el-GR"/>
        </w:rPr>
        <w:t>Πειραιέως</w:t>
      </w:r>
      <w:r w:rsidRPr="0001315D">
        <w:t xml:space="preserve"> </w:t>
      </w:r>
      <w:r w:rsidRPr="00A56D36">
        <w:rPr>
          <w:lang w:val="el-GR"/>
        </w:rPr>
        <w:t>κατελθόντων</w:t>
      </w:r>
      <w:r w:rsidRPr="0001315D">
        <w:t xml:space="preserve">, </w:t>
      </w:r>
      <w:r w:rsidRPr="00A56D36">
        <w:rPr>
          <w:lang w:val="el-GR"/>
        </w:rPr>
        <w:t>ἀλλὰ</w:t>
      </w:r>
      <w:r w:rsidRPr="0001315D">
        <w:t xml:space="preserve"> </w:t>
      </w:r>
      <w:r w:rsidRPr="00A56D36">
        <w:rPr>
          <w:lang w:val="el-GR"/>
        </w:rPr>
        <w:t>διὰ</w:t>
      </w:r>
      <w:r w:rsidRPr="0001315D">
        <w:t xml:space="preserve"> </w:t>
      </w:r>
      <w:r w:rsidRPr="00A56D36">
        <w:rPr>
          <w:lang w:val="el-GR"/>
        </w:rPr>
        <w:t>ταῦτα</w:t>
      </w:r>
      <w:r w:rsidRPr="0001315D">
        <w:t xml:space="preserve"> </w:t>
      </w:r>
      <w:r w:rsidRPr="00A56D36">
        <w:rPr>
          <w:lang w:val="el-GR"/>
        </w:rPr>
        <w:t>καὶ</w:t>
      </w:r>
      <w:r w:rsidRPr="0001315D">
        <w:t xml:space="preserve"> </w:t>
      </w:r>
      <w:r w:rsidRPr="00A56D36">
        <w:rPr>
          <w:lang w:val="el-GR"/>
        </w:rPr>
        <w:t>στρατηγὸς</w:t>
      </w:r>
      <w:r w:rsidRPr="0001315D">
        <w:t xml:space="preserve"> </w:t>
      </w:r>
      <w:r w:rsidRPr="00A56D36">
        <w:rPr>
          <w:lang w:val="el-GR"/>
        </w:rPr>
        <w:t>εὐθὺς</w:t>
      </w:r>
      <w:r w:rsidRPr="0001315D">
        <w:t xml:space="preserve"> </w:t>
      </w:r>
      <w:r w:rsidRPr="00A56D36">
        <w:rPr>
          <w:lang w:val="el-GR"/>
        </w:rPr>
        <w:t>ᾑρέθη</w:t>
      </w:r>
      <w:r w:rsidRPr="0001315D">
        <w:t xml:space="preserve"> </w:t>
      </w:r>
      <w:r w:rsidRPr="00A56D36">
        <w:rPr>
          <w:lang w:val="el-GR"/>
        </w:rPr>
        <w:t>Ῥίνων</w:t>
      </w:r>
      <w:r w:rsidR="003B5D7D" w:rsidRPr="0001315D">
        <w:t>.</w:t>
      </w:r>
      <w:r w:rsidRPr="004D2B99">
        <w:t>       </w:t>
      </w:r>
      <w:r w:rsidRPr="0001315D">
        <w:t xml:space="preserve"> </w:t>
      </w:r>
      <w:r w:rsidRPr="0001315D">
        <w:br/>
      </w:r>
      <w:r w:rsidRPr="004D2B99">
        <w:rPr>
          <w:b/>
          <w:bCs/>
        </w:rPr>
        <w:t>XXXIX</w:t>
      </w:r>
      <w:r w:rsidRPr="004D2B99">
        <w:t> </w:t>
      </w:r>
      <w:r w:rsidRPr="00C6466D">
        <w:rPr>
          <w:lang w:val="el-GR"/>
        </w:rPr>
        <w:t xml:space="preserve"> </w:t>
      </w:r>
      <w:r w:rsidRPr="004D2B99">
        <w:rPr>
          <w:lang w:val="el-GR"/>
        </w:rPr>
        <w:t>Ἐγένοντο</w:t>
      </w:r>
      <w:r w:rsidRPr="004D2B99">
        <w:t> </w:t>
      </w:r>
      <w:r w:rsidRPr="00C6466D">
        <w:rPr>
          <w:lang w:val="el-GR"/>
        </w:rPr>
        <w:t xml:space="preserve"> </w:t>
      </w:r>
      <w:r w:rsidRPr="004D2B99">
        <w:rPr>
          <w:lang w:val="el-GR"/>
        </w:rPr>
        <w:t>δ</w:t>
      </w:r>
      <w:r w:rsidRPr="00C6466D">
        <w:rPr>
          <w:lang w:val="el-GR"/>
        </w:rPr>
        <w:t xml:space="preserve">´ </w:t>
      </w:r>
      <w:r w:rsidRPr="004D2B99">
        <w:rPr>
          <w:lang w:val="el-GR"/>
        </w:rPr>
        <w:t>αἱ</w:t>
      </w:r>
      <w:r w:rsidRPr="00C6466D">
        <w:rPr>
          <w:lang w:val="el-GR"/>
        </w:rPr>
        <w:t xml:space="preserve"> </w:t>
      </w:r>
      <w:r w:rsidRPr="004D2B99">
        <w:rPr>
          <w:lang w:val="el-GR"/>
        </w:rPr>
        <w:t>διαλύσεις</w:t>
      </w:r>
      <w:r w:rsidRPr="00C6466D">
        <w:rPr>
          <w:lang w:val="el-GR"/>
        </w:rPr>
        <w:t xml:space="preserve"> </w:t>
      </w:r>
      <w:r w:rsidRPr="004D2B99">
        <w:rPr>
          <w:lang w:val="el-GR"/>
        </w:rPr>
        <w:t>ἐπ</w:t>
      </w:r>
      <w:r w:rsidRPr="00C6466D">
        <w:rPr>
          <w:lang w:val="el-GR"/>
        </w:rPr>
        <w:t xml:space="preserve">´ </w:t>
      </w:r>
      <w:r w:rsidRPr="004D2B99">
        <w:rPr>
          <w:lang w:val="el-GR"/>
        </w:rPr>
        <w:t>Εὐκλείδου</w:t>
      </w:r>
      <w:r w:rsidRPr="00C6466D">
        <w:rPr>
          <w:lang w:val="el-GR"/>
        </w:rPr>
        <w:t xml:space="preserve"> </w:t>
      </w:r>
      <w:r w:rsidRPr="004D2B99">
        <w:rPr>
          <w:lang w:val="el-GR"/>
        </w:rPr>
        <w:t>ἄρχοντος</w:t>
      </w:r>
      <w:r w:rsidRPr="00C6466D">
        <w:rPr>
          <w:lang w:val="el-GR"/>
        </w:rPr>
        <w:t xml:space="preserve"> </w:t>
      </w:r>
      <w:r w:rsidRPr="004D2B99">
        <w:rPr>
          <w:lang w:val="el-GR"/>
        </w:rPr>
        <w:t>κατὰ</w:t>
      </w:r>
      <w:r w:rsidRPr="00C6466D">
        <w:rPr>
          <w:lang w:val="el-GR"/>
        </w:rPr>
        <w:t xml:space="preserve"> </w:t>
      </w:r>
      <w:r w:rsidRPr="004D2B99">
        <w:rPr>
          <w:lang w:val="el-GR"/>
        </w:rPr>
        <w:t>τὰς</w:t>
      </w:r>
      <w:r w:rsidRPr="00C6466D">
        <w:rPr>
          <w:lang w:val="el-GR"/>
        </w:rPr>
        <w:t xml:space="preserve"> </w:t>
      </w:r>
      <w:r w:rsidRPr="004D2B99">
        <w:rPr>
          <w:lang w:val="el-GR"/>
        </w:rPr>
        <w:t>συνθήκας</w:t>
      </w:r>
      <w:r w:rsidRPr="00C6466D">
        <w:rPr>
          <w:lang w:val="el-GR"/>
        </w:rPr>
        <w:t xml:space="preserve"> </w:t>
      </w:r>
      <w:r w:rsidRPr="004D2B99">
        <w:rPr>
          <w:lang w:val="el-GR"/>
        </w:rPr>
        <w:t>τάσδε</w:t>
      </w:r>
      <w:r w:rsidRPr="00C6466D">
        <w:rPr>
          <w:lang w:val="el-GR"/>
        </w:rPr>
        <w:t>.</w:t>
      </w:r>
      <w:r w:rsidR="00C6466D" w:rsidRPr="00C6466D">
        <w:rPr>
          <w:lang w:val="el-GR"/>
        </w:rPr>
        <w:t xml:space="preserve"> </w:t>
      </w:r>
      <w:r w:rsidRPr="004D2B99">
        <w:t>   </w:t>
      </w:r>
      <w:r w:rsidRPr="00C6466D">
        <w:rPr>
          <w:lang w:val="el-GR"/>
        </w:rPr>
        <w:t xml:space="preserve"> </w:t>
      </w:r>
      <w:r w:rsidRPr="00C6466D">
        <w:rPr>
          <w:lang w:val="el-GR"/>
        </w:rPr>
        <w:br/>
      </w:r>
      <w:r w:rsidRPr="001A53BA">
        <w:rPr>
          <w:lang w:val="el-GR"/>
        </w:rPr>
        <w:t>τοὺς βουλομένους Ἀθηναίων τῶν ἐν ἄστει μεινάντων ἐξοικεῖν ἔχειν Ἐλευσῖνα ἐπιτίμους ὄντας καὶ κυρίους καὶ αὐτοκράτορας ἑαυτῶν καὶ τὰ αὑτῶν καρπουμένους. τὸ δ´ ἱερὸν εἶναι κοινὸν ἀμφοτέρων, ἐπιμελεῖσθαι δὲ Κήρυκας καὶ Εὐμολπίδας</w:t>
      </w:r>
      <w:r w:rsidR="001A53BA">
        <w:rPr>
          <w:rStyle w:val="Funotenzeichen"/>
        </w:rPr>
        <w:footnoteReference w:id="1"/>
      </w:r>
      <w:r w:rsidRPr="001A53BA">
        <w:rPr>
          <w:lang w:val="el-GR"/>
        </w:rPr>
        <w:t xml:space="preserve"> κατὰ τὰ πάτρια.</w:t>
      </w:r>
      <w:r w:rsidR="001A53BA" w:rsidRPr="001A53BA">
        <w:rPr>
          <w:lang w:val="el-GR"/>
        </w:rPr>
        <w:t xml:space="preserve"> </w:t>
      </w:r>
      <w:r w:rsidRPr="001A53BA">
        <w:rPr>
          <w:lang w:val="el-GR"/>
        </w:rPr>
        <w:t xml:space="preserve"> </w:t>
      </w:r>
      <w:r w:rsidRPr="004F25AA">
        <w:rPr>
          <w:lang w:val="el-GR"/>
        </w:rPr>
        <w:t>μὴ ἐξεῖναι δὲ μήτε τοῖς Ἐλευσινόθεν εἰς τὸ ἄστυ μήτε τοῖς ἐκ τοῦ ἄστεως Ἐλευσῖνάδε ἰέναι, πλὴν μυστηρίοις ἑκατέρους.</w:t>
      </w:r>
      <w:r w:rsidRPr="004D2B99">
        <w:t>    </w:t>
      </w:r>
      <w:r w:rsidRPr="004F25AA">
        <w:rPr>
          <w:lang w:val="el-GR"/>
        </w:rPr>
        <w:t xml:space="preserve"> </w:t>
      </w:r>
      <w:r w:rsidRPr="004F25AA">
        <w:rPr>
          <w:lang w:val="el-GR"/>
        </w:rPr>
        <w:br/>
        <w:t>συντελεῖν δὲ ἀπὸ τῶν προσιόντων εἰς τὸ συμμαχικὸν καθάπερ τοὺς ἄλλους Ἀθηναίους.</w:t>
      </w:r>
      <w:r w:rsidR="004F25AA" w:rsidRPr="004F25AA">
        <w:rPr>
          <w:lang w:val="el-GR"/>
        </w:rPr>
        <w:t xml:space="preserve"> </w:t>
      </w:r>
      <w:r w:rsidRPr="004F25AA">
        <w:rPr>
          <w:lang w:val="el-GR"/>
        </w:rPr>
        <w:t xml:space="preserve">ἐὰν δέ τινες τῶν ἀπιόντων οἰκίαν λαμβάνωσιν Ἐλευσῖνι, συμπείθειν τὸν κεκτημένον. ἐὰν δὲ μὴ συμβαίνωσιν ἀλλήλοις, τιμητὰς ἑλέσθαι τρεῖς ἑκάτερον, καὶ ἥντιν´ ἂν οὗτοι τάξωσιν τιμὴν λαμβάνειν. </w:t>
      </w:r>
      <w:r w:rsidRPr="00A07488">
        <w:rPr>
          <w:lang w:val="el-GR"/>
        </w:rPr>
        <w:t>Ἐλευσινίων δὲ</w:t>
      </w:r>
      <w:r w:rsidRPr="004D2B99">
        <w:t> </w:t>
      </w:r>
      <w:r w:rsidRPr="00A07488">
        <w:rPr>
          <w:lang w:val="el-GR"/>
        </w:rPr>
        <w:t xml:space="preserve"> συνοικεῖν οὓς ἂν οὗτοι βούλωνται.</w:t>
      </w:r>
      <w:r w:rsidR="00A07488" w:rsidRPr="00A07488">
        <w:rPr>
          <w:lang w:val="el-GR"/>
        </w:rPr>
        <w:t xml:space="preserve"> </w:t>
      </w:r>
      <w:r w:rsidRPr="00A07488">
        <w:rPr>
          <w:lang w:val="el-GR"/>
        </w:rPr>
        <w:t>τὴν δ´ ἀπογραφὴν εἶναι τοῖς βουλομένοις ἐξοικεῖν, τοῖς μὲν ἐπιδημοῦσιν ἀφ´ ἧς ἂν ὀμόσωσιν τοὺς ὅρκους δέκα ἡμερῶν, τὴν δ´ ἐξοίκησιν εἴκοσι, τοῖς δ´ ἀποδημοῦσιν ἐπειδὰν ἐπιδημήσωσιν κατὰ ταὐτά.</w:t>
      </w:r>
      <w:r w:rsidR="00A07488" w:rsidRPr="00A07488">
        <w:rPr>
          <w:lang w:val="el-GR"/>
        </w:rPr>
        <w:t xml:space="preserve"> </w:t>
      </w:r>
      <w:r w:rsidRPr="00A07488">
        <w:rPr>
          <w:lang w:val="el-GR"/>
        </w:rPr>
        <w:t>μὴ ἐξεῖναι δὲ ἄρχειν μηδεμίαν ἀρχὴν</w:t>
      </w:r>
      <w:r w:rsidR="001813D7">
        <w:rPr>
          <w:rStyle w:val="Funotenzeichen"/>
          <w:lang w:val="el-GR"/>
        </w:rPr>
        <w:footnoteReference w:id="2"/>
      </w:r>
      <w:r w:rsidRPr="00A07488">
        <w:rPr>
          <w:lang w:val="el-GR"/>
        </w:rPr>
        <w:t xml:space="preserve"> τῶν ἐν τῷ ἄστει τὸν Ἐλευσῖνι κατοικοῦντα, πρὶν ἂν ἀπογράψηται πάλιν ἐν τῷ ἄστει κατοικεῖν. τὰς δὲ δίκας τοῦ φόνου εἶναι κατὰ τὰ πάτρια, εἴ τίς τινα αὐτοχειρίᾳ ἔκτεινεν ἢ ἔτρωσεν.</w:t>
      </w:r>
      <w:r w:rsidRPr="004D2B99">
        <w:t> </w:t>
      </w:r>
      <w:r w:rsidRPr="00A07488">
        <w:rPr>
          <w:lang w:val="el-GR"/>
        </w:rPr>
        <w:t>τῶν δὲ παρεληλυθότων μηδενὶ πρὸς μηδένα μνησικακεῖν ἐξεῖναι, πλὴν πρὸς τοὺς τριάκοντα καὶ τοὺς δέκα</w:t>
      </w:r>
      <w:r w:rsidR="0015699D">
        <w:rPr>
          <w:rStyle w:val="Funotenzeichen"/>
          <w:lang w:val="el-GR"/>
        </w:rPr>
        <w:footnoteReference w:id="3"/>
      </w:r>
      <w:r w:rsidR="00E96714" w:rsidRPr="00E96714">
        <w:rPr>
          <w:lang w:val="el-GR"/>
        </w:rPr>
        <w:t xml:space="preserve"> </w:t>
      </w:r>
      <w:r w:rsidRPr="00A07488">
        <w:rPr>
          <w:lang w:val="el-GR"/>
        </w:rPr>
        <w:t>καὶ τοὺς ἕνδεκα</w:t>
      </w:r>
      <w:r w:rsidR="00E96714">
        <w:rPr>
          <w:rStyle w:val="Funotenzeichen"/>
          <w:lang w:val="el-GR"/>
        </w:rPr>
        <w:footnoteReference w:id="4"/>
      </w:r>
      <w:r w:rsidRPr="00A07488">
        <w:rPr>
          <w:lang w:val="el-GR"/>
        </w:rPr>
        <w:t xml:space="preserve"> καὶ τοὺς τοῦ Πειραιέως ἄρξαντας, μηδὲ πρὸς τούτους, ἐὰν διδῶσιν εὐθύνας. </w:t>
      </w:r>
      <w:r w:rsidRPr="00EE5397">
        <w:rPr>
          <w:lang w:val="el-GR"/>
        </w:rPr>
        <w:t>εὐθύνας δὲ δοῦναι τοὺς μὲν ἐν Πειραιεῖ ἄρξαντας ἐν τοῖς ἐν Πειραιεῖ, τοὺς δ´ ἐν τῷ ἄστει</w:t>
      </w:r>
      <w:r w:rsidR="00EE5397">
        <w:rPr>
          <w:rStyle w:val="Funotenzeichen"/>
          <w:lang w:val="el-GR"/>
        </w:rPr>
        <w:footnoteReference w:id="5"/>
      </w:r>
      <w:r w:rsidRPr="00EE5397">
        <w:rPr>
          <w:lang w:val="el-GR"/>
        </w:rPr>
        <w:t xml:space="preserve"> ἐν τοῖς τὰ τιμήματα παρεχομένοις</w:t>
      </w:r>
      <w:r w:rsidR="00A56D36">
        <w:rPr>
          <w:rStyle w:val="Funotenzeichen"/>
          <w:lang w:val="el-GR"/>
        </w:rPr>
        <w:footnoteReference w:id="6"/>
      </w:r>
      <w:r w:rsidRPr="00EE5397">
        <w:rPr>
          <w:lang w:val="el-GR"/>
        </w:rPr>
        <w:t>. εἶθ´</w:t>
      </w:r>
      <w:r w:rsidRPr="004D2B99">
        <w:t> </w:t>
      </w:r>
      <w:r w:rsidRPr="00EE5397">
        <w:rPr>
          <w:lang w:val="el-GR"/>
        </w:rPr>
        <w:t xml:space="preserve"> οὕτως ἐξοικεῖν τοὺς ἐθέλοντας. τὰ δὲ χρήματα ἃ ἐδανείσαντο εἰς τὸν πόλεμον ἑκατέρους ἀποδοῦναι χωρίς.</w:t>
      </w:r>
      <w:r w:rsidRPr="004D2B99">
        <w:t>    </w:t>
      </w:r>
      <w:r w:rsidRPr="00EE5397">
        <w:rPr>
          <w:lang w:val="el-GR"/>
        </w:rPr>
        <w:t xml:space="preserve"> </w:t>
      </w:r>
      <w:r w:rsidRPr="00EE5397">
        <w:rPr>
          <w:lang w:val="el-GR"/>
        </w:rPr>
        <w:br/>
      </w:r>
      <w:r w:rsidRPr="004D2B99">
        <w:rPr>
          <w:b/>
          <w:bCs/>
        </w:rPr>
        <w:t>XL</w:t>
      </w:r>
      <w:r w:rsidRPr="004D2B99">
        <w:t> </w:t>
      </w:r>
      <w:r w:rsidRPr="00734EEC">
        <w:rPr>
          <w:lang w:val="el-GR"/>
        </w:rPr>
        <w:t>Γενομένων δὲ τοιούτων τῶν διαλύσεων, καὶ φοβουμένων, ὅσοι μετὰ τῶν τριάκοντα συνεπολέμησαν, καὶ πολλῶν μὲν ἐπινοούντων ἐξοικεῖν, ἀναβαλλομένων δὲ τὴν ἀπογραφὴν εἰς τὰς ἐσχάτας ἡμέρας, ὅπερ εἰώθασιν ποιεῖν ἅπαντες, Ἀρχῖνος συνιδὼν τὸ πλῆθος καὶ βουλόμενος κατασχεῖν αὐτούς, ὑφεῖλε τὰς ὑπολοίπους ἡμέρας τῆς ἀπογραφῆς, ὥστε συναναγκασθῆναι μένειν πολλοὺς ἄκοντας, ἕως ἐθάρρησαν.</w:t>
      </w:r>
      <w:r w:rsidR="00AF437D">
        <w:rPr>
          <w:lang w:val="el-GR"/>
        </w:rPr>
        <w:t xml:space="preserve"> </w:t>
      </w:r>
      <w:r w:rsidR="00AF437D" w:rsidRPr="00813648">
        <w:rPr>
          <w:lang w:val="el-GR"/>
        </w:rPr>
        <w:t>καὶ δοκεῖ τοῦτό τε πολιτεύσασθαι καλῶς Ἀρχῖνος, καὶ μετὰ ταῦτα γραψάμενος τὸ ψήφισμα τὸ Θρασυβούλου παρανόμων, ἐν ᾧ μετεδίδου τῆς πολιτείας πᾶσι τοῖς ἐκ Πειραιέως συγκατελθοῦσι, ὧν ἔνιοι φανερῶς ἦσαν δοῦλοι, καὶ τρίτον, ἐπεί τις ἤρξατο τῶν κατεληλυθότων μνησικακεῖν, ἀπαγαγὼν τοῦτον ἐπὶ τὴν βουλὴν καὶ πείσας ἄκριτον ἀποκτεῖναι, λέγων ὅτι νῦν δείξουσιν, εἰ βούλονται τὴν δημοκρατίαν σῴζειν καὶ τοῖς ὅρκοις ἐμμένειν· ἀφέντας μὲν γὰρ τοῦτον προτρέψειν καὶ τοὺς ἄλλους, ἐὰν δ´ ἀνέλωσιν, παράδειγμα ποιήσειν ἅπασιν. ὅπερ καὶ συνέπεσεν· ἀποθανόντος γὰρ οὐδεὶς πώποτε ὕστερον ἐμνησικάκησεν, ἀλλὰ δοκοῦσιν κάλλιστα δὴ καὶ πολιτικώτατα ἁπάντων καὶ ἰδίᾳ καὶ κοινῇ χρήσασθαι ταῖς προγεγενημέναις συμφοραῖς· οὐ γὰρ μόνον τὰς περὶ τῶν προτέρων αἰτίας ἐξήλειψαν, ἀλλὰ καὶ τὰ χρήματα Λακεδαιμονίοις, ἃ οἱ τριάκοντα πρὸς τὸν πόλεμον ἔλαβον, ἀπέδοσαν κοινῇ, κελευουσῶν τῶν συνθηκῶν ἑκατέρους ἀποδιδόναι χωρίς, τούς τ´ ἐκ τοῦ ἄστεως καὶ τοὺς ἐκ τοῦ Πειραιέως, ἡγούμενοι τοῦτο πρῶτον ἄρχειν δεῖν τῆς ὁμονοίας· ἐν δὲ ταῖς ἄλλαις πόλεσιν οὐχ οἷον</w:t>
      </w:r>
      <w:r w:rsidR="00145B9B">
        <w:rPr>
          <w:rStyle w:val="Funotenzeichen"/>
          <w:lang w:val="el-GR"/>
        </w:rPr>
        <w:footnoteReference w:id="7"/>
      </w:r>
      <w:r w:rsidR="00AF437D" w:rsidRPr="00813648">
        <w:rPr>
          <w:lang w:val="el-GR"/>
        </w:rPr>
        <w:t xml:space="preserve"> ἔτι προστιθέασιν τῶν οἰκείων</w:t>
      </w:r>
      <w:r w:rsidR="00145B9B">
        <w:rPr>
          <w:rStyle w:val="Funotenzeichen"/>
          <w:lang w:val="el-GR"/>
        </w:rPr>
        <w:footnoteReference w:id="8"/>
      </w:r>
      <w:r w:rsidR="00AF437D" w:rsidRPr="00813648">
        <w:rPr>
          <w:lang w:val="el-GR"/>
        </w:rPr>
        <w:t xml:space="preserve"> οἱ δῆμοι κρατήσαντες, ἀλλὰ καὶ τὴν χώραν ἀνάδαστον ποιοῦσιν.</w:t>
      </w:r>
      <w:r w:rsidR="00AF437D">
        <w:rPr>
          <w:lang w:val="el-GR"/>
        </w:rPr>
        <w:t xml:space="preserve"> </w:t>
      </w:r>
      <w:r w:rsidR="00AF437D" w:rsidRPr="00813648">
        <w:rPr>
          <w:lang w:val="el-GR"/>
        </w:rPr>
        <w:t>διελύθησαν δὲ καὶ πρὸς τοὺς ἐν Ἐλευσῖνι κατοικήσαντας, ἔτει τρίτῳ μετὰ τὴν ἐξοίκησιν, ἐπὶ Ξεναινέτου ἄρχοντος.</w:t>
      </w:r>
    </w:p>
    <w:p w14:paraId="5250E1DF" w14:textId="2A01213E" w:rsidR="00F44823" w:rsidRPr="00734EEC" w:rsidRDefault="00F44823" w:rsidP="00F44823">
      <w:pPr>
        <w:ind w:left="0" w:firstLine="0"/>
        <w:rPr>
          <w:lang w:val="el-GR"/>
        </w:rPr>
      </w:pPr>
    </w:p>
    <w:p w14:paraId="7BADFEFF" w14:textId="51D93A9F" w:rsidR="00366555" w:rsidRPr="00A56D36" w:rsidRDefault="00F44823" w:rsidP="00A56D36">
      <w:pPr>
        <w:ind w:left="0" w:firstLine="0"/>
        <w:rPr>
          <w:lang w:val="el-GR"/>
        </w:rPr>
      </w:pPr>
      <w:r w:rsidRPr="004D2B99">
        <w:t>     </w:t>
      </w:r>
    </w:p>
    <w:sectPr w:rsidR="00366555" w:rsidRPr="00A56D36" w:rsidSect="00AF437D">
      <w:pgSz w:w="11906" w:h="16838" w:code="9"/>
      <w:pgMar w:top="709"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1767" w14:textId="77777777" w:rsidR="0028771C" w:rsidRDefault="0028771C" w:rsidP="00B24833">
      <w:pPr>
        <w:spacing w:after="0"/>
      </w:pPr>
      <w:r>
        <w:separator/>
      </w:r>
    </w:p>
  </w:endnote>
  <w:endnote w:type="continuationSeparator" w:id="0">
    <w:p w14:paraId="3CBDC922" w14:textId="77777777" w:rsidR="0028771C" w:rsidRDefault="0028771C" w:rsidP="00B248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exander">
    <w:panose1 w:val="02020602090805090A03"/>
    <w:charset w:val="00"/>
    <w:family w:val="roman"/>
    <w:pitch w:val="variable"/>
    <w:sig w:usb0="E00002FF" w:usb1="4200F8FB" w:usb2="0D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17EC" w14:textId="77777777" w:rsidR="0028771C" w:rsidRDefault="0028771C" w:rsidP="00B24833">
      <w:pPr>
        <w:spacing w:after="0"/>
      </w:pPr>
      <w:r>
        <w:separator/>
      </w:r>
    </w:p>
  </w:footnote>
  <w:footnote w:type="continuationSeparator" w:id="0">
    <w:p w14:paraId="4DA5CA3E" w14:textId="77777777" w:rsidR="0028771C" w:rsidRDefault="0028771C" w:rsidP="00B24833">
      <w:pPr>
        <w:spacing w:after="0"/>
      </w:pPr>
      <w:r>
        <w:continuationSeparator/>
      </w:r>
    </w:p>
  </w:footnote>
  <w:footnote w:id="1">
    <w:p w14:paraId="5C564124" w14:textId="6F6F0F9E" w:rsidR="001A53BA" w:rsidRPr="00E96714" w:rsidRDefault="001A53BA" w:rsidP="00A56D36">
      <w:pPr>
        <w:spacing w:after="0"/>
        <w:ind w:left="0" w:firstLine="0"/>
        <w:rPr>
          <w:rFonts w:ascii="Alexander" w:hAnsi="Alexander"/>
          <w:sz w:val="20"/>
          <w:szCs w:val="20"/>
        </w:rPr>
      </w:pPr>
      <w:r w:rsidRPr="00E96714">
        <w:rPr>
          <w:rStyle w:val="Funotenzeichen"/>
          <w:rFonts w:ascii="Alexander" w:hAnsi="Alexander"/>
          <w:sz w:val="20"/>
          <w:szCs w:val="20"/>
        </w:rPr>
        <w:footnoteRef/>
      </w:r>
      <w:r w:rsidRPr="00E96714">
        <w:rPr>
          <w:rFonts w:ascii="Alexander" w:hAnsi="Alexander"/>
          <w:sz w:val="20"/>
          <w:szCs w:val="20"/>
        </w:rPr>
        <w:t xml:space="preserve"> Κήρυκες, Εὐμόλπιδες „(Priesterfamilien in Eleusis)“</w:t>
      </w:r>
    </w:p>
  </w:footnote>
  <w:footnote w:id="2">
    <w:p w14:paraId="5A7A1A8F" w14:textId="26778DB8" w:rsidR="001813D7" w:rsidRPr="00E96714" w:rsidRDefault="001813D7" w:rsidP="00A56D36">
      <w:pPr>
        <w:pStyle w:val="Funotentext"/>
        <w:ind w:left="0" w:firstLine="0"/>
        <w:rPr>
          <w:rFonts w:ascii="Alexander" w:hAnsi="Alexander"/>
        </w:rPr>
      </w:pPr>
      <w:r w:rsidRPr="00E96714">
        <w:rPr>
          <w:rStyle w:val="Funotenzeichen"/>
          <w:rFonts w:ascii="Alexander" w:hAnsi="Alexander"/>
        </w:rPr>
        <w:footnoteRef/>
      </w:r>
      <w:r w:rsidRPr="00E96714">
        <w:rPr>
          <w:rFonts w:ascii="Alexander" w:hAnsi="Alexander"/>
        </w:rPr>
        <w:t xml:space="preserve"> </w:t>
      </w:r>
      <w:r w:rsidRPr="00E96714">
        <w:rPr>
          <w:rFonts w:ascii="Alexander" w:hAnsi="Alexander"/>
          <w:lang w:val="el-GR"/>
        </w:rPr>
        <w:t>ἄρχειν</w:t>
      </w:r>
      <w:r w:rsidRPr="00E96714">
        <w:rPr>
          <w:rFonts w:ascii="Alexander" w:hAnsi="Alexander"/>
        </w:rPr>
        <w:t xml:space="preserve"> </w:t>
      </w:r>
      <w:r w:rsidRPr="00E96714">
        <w:rPr>
          <w:rFonts w:ascii="Alexander" w:hAnsi="Alexander"/>
          <w:lang w:val="el-GR"/>
        </w:rPr>
        <w:t>ἀρχήν</w:t>
      </w:r>
      <w:r w:rsidRPr="00E96714">
        <w:rPr>
          <w:rFonts w:ascii="Alexander" w:hAnsi="Alexander"/>
        </w:rPr>
        <w:t xml:space="preserve">: </w:t>
      </w:r>
      <w:r w:rsidR="00B717C3" w:rsidRPr="00E96714">
        <w:rPr>
          <w:rFonts w:ascii="Alexander" w:hAnsi="Alexander"/>
        </w:rPr>
        <w:t>„</w:t>
      </w:r>
      <w:r w:rsidRPr="00E96714">
        <w:rPr>
          <w:rFonts w:ascii="Alexander" w:hAnsi="Alexander"/>
        </w:rPr>
        <w:t>ein Amt innehaben“</w:t>
      </w:r>
    </w:p>
  </w:footnote>
  <w:footnote w:id="3">
    <w:p w14:paraId="7B3332E3" w14:textId="5B80A215" w:rsidR="0015699D" w:rsidRPr="00E96714" w:rsidRDefault="0015699D" w:rsidP="00A56D36">
      <w:pPr>
        <w:spacing w:after="0"/>
        <w:ind w:left="0" w:firstLine="0"/>
        <w:rPr>
          <w:rFonts w:ascii="Alexander" w:hAnsi="Alexander"/>
          <w:sz w:val="20"/>
          <w:szCs w:val="20"/>
        </w:rPr>
      </w:pPr>
      <w:r w:rsidRPr="00E96714">
        <w:rPr>
          <w:sz w:val="20"/>
          <w:szCs w:val="20"/>
          <w:vertAlign w:val="superscript"/>
        </w:rPr>
        <w:footnoteRef/>
      </w:r>
      <w:r w:rsidRPr="00E96714">
        <w:rPr>
          <w:rFonts w:ascii="Alexander" w:hAnsi="Alexander"/>
          <w:sz w:val="20"/>
          <w:szCs w:val="20"/>
          <w:vertAlign w:val="superscript"/>
        </w:rPr>
        <w:t xml:space="preserve"> </w:t>
      </w:r>
      <w:r w:rsidRPr="00E96714">
        <w:rPr>
          <w:rFonts w:ascii="Alexander" w:hAnsi="Alexander"/>
          <w:sz w:val="20"/>
          <w:szCs w:val="20"/>
        </w:rPr>
        <w:t xml:space="preserve">οἱ δέκα: </w:t>
      </w:r>
      <w:r w:rsidR="002B6836" w:rsidRPr="00E96714">
        <w:rPr>
          <w:rFonts w:ascii="Alexander" w:hAnsi="Alexander"/>
          <w:sz w:val="20"/>
          <w:szCs w:val="20"/>
        </w:rPr>
        <w:t>gemeint sind die δέκα αὐτοκράτορες „die Zehn mit Sondergewalt“, die nach der Schlacht</w:t>
      </w:r>
      <w:r w:rsidR="00E96714" w:rsidRPr="00E96714">
        <w:rPr>
          <w:rFonts w:ascii="Alexander" w:hAnsi="Alexander"/>
          <w:sz w:val="20"/>
          <w:szCs w:val="20"/>
        </w:rPr>
        <w:t xml:space="preserve"> </w:t>
      </w:r>
      <w:r w:rsidR="002B6836" w:rsidRPr="00E96714">
        <w:rPr>
          <w:rFonts w:ascii="Alexander" w:hAnsi="Alexander"/>
          <w:sz w:val="20"/>
          <w:szCs w:val="20"/>
        </w:rPr>
        <w:t>i</w:t>
      </w:r>
      <w:r w:rsidR="00E96714" w:rsidRPr="00E96714">
        <w:rPr>
          <w:rFonts w:ascii="Alexander" w:hAnsi="Alexander"/>
          <w:sz w:val="20"/>
          <w:szCs w:val="20"/>
        </w:rPr>
        <w:t>m</w:t>
      </w:r>
      <w:r w:rsidR="002B6836" w:rsidRPr="00E96714">
        <w:rPr>
          <w:rFonts w:ascii="Alexander" w:hAnsi="Alexander"/>
          <w:sz w:val="20"/>
          <w:szCs w:val="20"/>
        </w:rPr>
        <w:t xml:space="preserve"> Piräus </w:t>
      </w:r>
      <w:r w:rsidR="00E96714" w:rsidRPr="00E96714">
        <w:rPr>
          <w:rFonts w:ascii="Alexander" w:hAnsi="Alexander"/>
          <w:sz w:val="20"/>
          <w:szCs w:val="20"/>
        </w:rPr>
        <w:t xml:space="preserve">und der Absetzung/ </w:t>
      </w:r>
      <w:r w:rsidR="00E96714">
        <w:rPr>
          <w:rFonts w:ascii="Alexander" w:hAnsi="Alexander"/>
          <w:sz w:val="20"/>
          <w:szCs w:val="20"/>
        </w:rPr>
        <w:br/>
        <w:t xml:space="preserve">  </w:t>
      </w:r>
      <w:r w:rsidR="00E96714" w:rsidRPr="00E96714">
        <w:rPr>
          <w:rFonts w:ascii="Alexander" w:hAnsi="Alexander"/>
          <w:sz w:val="20"/>
          <w:szCs w:val="20"/>
        </w:rPr>
        <w:t xml:space="preserve">dem Auszug der Dreißig nach Eleusis zur Beendigung des Krieges gewählt wurden, stattdessen </w:t>
      </w:r>
      <w:r w:rsidR="002B6836" w:rsidRPr="00E96714">
        <w:rPr>
          <w:rFonts w:ascii="Alexander" w:hAnsi="Alexander"/>
          <w:sz w:val="20"/>
          <w:szCs w:val="20"/>
        </w:rPr>
        <w:t>aber mit Sparta kollaborierten</w:t>
      </w:r>
      <w:r w:rsidR="00E96714" w:rsidRPr="00E96714">
        <w:rPr>
          <w:rFonts w:ascii="Alexander" w:hAnsi="Alexander"/>
          <w:sz w:val="20"/>
          <w:szCs w:val="20"/>
        </w:rPr>
        <w:t>.</w:t>
      </w:r>
    </w:p>
  </w:footnote>
  <w:footnote w:id="4">
    <w:p w14:paraId="1116A9F3" w14:textId="41ADCD71" w:rsidR="00E96714" w:rsidRPr="00E96714" w:rsidRDefault="00E96714" w:rsidP="00A56D36">
      <w:pPr>
        <w:spacing w:after="0"/>
        <w:ind w:left="0" w:firstLine="0"/>
        <w:rPr>
          <w:rFonts w:ascii="Alexander" w:hAnsi="Alexander"/>
          <w:sz w:val="20"/>
          <w:szCs w:val="20"/>
        </w:rPr>
      </w:pPr>
      <w:r w:rsidRPr="00E96714">
        <w:rPr>
          <w:sz w:val="20"/>
          <w:szCs w:val="20"/>
          <w:vertAlign w:val="superscript"/>
        </w:rPr>
        <w:footnoteRef/>
      </w:r>
      <w:r w:rsidRPr="00E96714">
        <w:rPr>
          <w:sz w:val="20"/>
          <w:szCs w:val="20"/>
          <w:vertAlign w:val="superscript"/>
        </w:rPr>
        <w:t xml:space="preserve"> </w:t>
      </w:r>
      <w:r w:rsidRPr="00E96714">
        <w:rPr>
          <w:rFonts w:ascii="Alexander" w:hAnsi="Alexander"/>
          <w:sz w:val="20"/>
          <w:szCs w:val="20"/>
        </w:rPr>
        <w:t>οἱ ἕνδεκα: das polizeiliche Exekutivkommando, das auch für die Hinrichtungen zuständig war</w:t>
      </w:r>
    </w:p>
  </w:footnote>
  <w:footnote w:id="5">
    <w:p w14:paraId="67B6CD4D" w14:textId="1FE7CD0B" w:rsidR="00EE5397" w:rsidRPr="0001315D" w:rsidRDefault="00EE5397" w:rsidP="00A56D36">
      <w:pPr>
        <w:pStyle w:val="Funotentext"/>
        <w:ind w:left="0" w:firstLine="0"/>
        <w:rPr>
          <w:rFonts w:ascii="Alexander" w:hAnsi="Alexander"/>
        </w:rPr>
      </w:pPr>
      <w:r w:rsidRPr="00A56D36">
        <w:rPr>
          <w:rStyle w:val="Funotenzeichen"/>
          <w:rFonts w:ascii="Alexander" w:hAnsi="Alexander"/>
        </w:rPr>
        <w:footnoteRef/>
      </w:r>
      <w:r w:rsidRPr="00A56D36">
        <w:rPr>
          <w:rFonts w:ascii="Alexander" w:hAnsi="Alexander"/>
        </w:rPr>
        <w:t xml:space="preserve"> </w:t>
      </w:r>
      <w:r w:rsidRPr="00A56D36">
        <w:rPr>
          <w:rFonts w:ascii="Alexander" w:hAnsi="Alexander"/>
          <w:lang w:val="el-GR"/>
        </w:rPr>
        <w:t>ἐν</w:t>
      </w:r>
      <w:r w:rsidRPr="0001315D">
        <w:rPr>
          <w:rFonts w:ascii="Alexander" w:hAnsi="Alexander"/>
        </w:rPr>
        <w:t xml:space="preserve"> </w:t>
      </w:r>
      <w:r w:rsidRPr="00A56D36">
        <w:rPr>
          <w:rFonts w:ascii="Alexander" w:hAnsi="Alexander"/>
          <w:lang w:val="el-GR"/>
        </w:rPr>
        <w:t>τῷ</w:t>
      </w:r>
      <w:r w:rsidRPr="0001315D">
        <w:rPr>
          <w:rFonts w:ascii="Alexander" w:hAnsi="Alexander"/>
        </w:rPr>
        <w:t xml:space="preserve"> </w:t>
      </w:r>
      <w:r w:rsidRPr="00A56D36">
        <w:rPr>
          <w:rFonts w:ascii="Alexander" w:hAnsi="Alexander"/>
          <w:lang w:val="el-GR"/>
        </w:rPr>
        <w:t>ἄστει</w:t>
      </w:r>
      <w:r w:rsidR="00A56D36" w:rsidRPr="0001315D">
        <w:rPr>
          <w:rFonts w:ascii="Alexander" w:hAnsi="Alexander"/>
        </w:rPr>
        <w:t xml:space="preserve"> </w:t>
      </w:r>
      <w:r w:rsidR="00A56D36" w:rsidRPr="00A56D36">
        <w:rPr>
          <w:rFonts w:ascii="Alexander" w:hAnsi="Alexander"/>
        </w:rPr>
        <w:t xml:space="preserve">ergänze </w:t>
      </w:r>
      <w:r w:rsidR="00A56D36" w:rsidRPr="00A56D36">
        <w:rPr>
          <w:rFonts w:ascii="Alexander" w:hAnsi="Alexander"/>
          <w:lang w:val="el-GR"/>
        </w:rPr>
        <w:t>ἄρξαντας</w:t>
      </w:r>
    </w:p>
  </w:footnote>
  <w:footnote w:id="6">
    <w:p w14:paraId="2C3B5EBC" w14:textId="6DC81FCD" w:rsidR="00A56D36" w:rsidRPr="00A56D36" w:rsidRDefault="00A56D36">
      <w:pPr>
        <w:pStyle w:val="Funotentext"/>
        <w:rPr>
          <w:rFonts w:ascii="Alexander" w:hAnsi="Alexander"/>
        </w:rPr>
      </w:pPr>
      <w:r w:rsidRPr="00A56D36">
        <w:rPr>
          <w:rStyle w:val="Funotenzeichen"/>
          <w:rFonts w:ascii="Alexander" w:hAnsi="Alexander"/>
        </w:rPr>
        <w:footnoteRef/>
      </w:r>
      <w:r w:rsidRPr="00A56D36">
        <w:rPr>
          <w:rFonts w:ascii="Alexander" w:hAnsi="Alexander"/>
        </w:rPr>
        <w:t xml:space="preserve"> </w:t>
      </w:r>
      <w:r w:rsidRPr="00A56D36">
        <w:rPr>
          <w:rFonts w:ascii="Alexander" w:hAnsi="Alexander"/>
          <w:lang w:val="el-GR"/>
        </w:rPr>
        <w:t>ἐν</w:t>
      </w:r>
      <w:r w:rsidRPr="00A56D36">
        <w:rPr>
          <w:rFonts w:ascii="Alexander" w:hAnsi="Alexander"/>
        </w:rPr>
        <w:t xml:space="preserve"> </w:t>
      </w:r>
      <w:r w:rsidRPr="00A56D36">
        <w:rPr>
          <w:rFonts w:ascii="Alexander" w:hAnsi="Alexander"/>
          <w:lang w:val="el-GR"/>
        </w:rPr>
        <w:t>τοῖς</w:t>
      </w:r>
      <w:r w:rsidRPr="00A56D36">
        <w:rPr>
          <w:rFonts w:ascii="Alexander" w:hAnsi="Alexander"/>
        </w:rPr>
        <w:t xml:space="preserve"> </w:t>
      </w:r>
      <w:r w:rsidRPr="00A56D36">
        <w:rPr>
          <w:rFonts w:ascii="Alexander" w:hAnsi="Alexander"/>
          <w:lang w:val="el-GR"/>
        </w:rPr>
        <w:t>τὰ</w:t>
      </w:r>
      <w:r w:rsidRPr="00A56D36">
        <w:rPr>
          <w:rFonts w:ascii="Alexander" w:hAnsi="Alexander"/>
        </w:rPr>
        <w:t xml:space="preserve"> </w:t>
      </w:r>
      <w:r w:rsidRPr="00A56D36">
        <w:rPr>
          <w:rFonts w:ascii="Alexander" w:hAnsi="Alexander"/>
          <w:lang w:val="el-GR"/>
        </w:rPr>
        <w:t>τιμήματα</w:t>
      </w:r>
      <w:r w:rsidRPr="00A56D36">
        <w:rPr>
          <w:rFonts w:ascii="Alexander" w:hAnsi="Alexander"/>
        </w:rPr>
        <w:t xml:space="preserve"> </w:t>
      </w:r>
      <w:r w:rsidRPr="00A56D36">
        <w:rPr>
          <w:rFonts w:ascii="Alexander" w:hAnsi="Alexander"/>
          <w:lang w:val="el-GR"/>
        </w:rPr>
        <w:t>παρεχομένοις</w:t>
      </w:r>
      <w:r w:rsidRPr="00A56D36">
        <w:rPr>
          <w:rFonts w:ascii="Alexander" w:hAnsi="Alexander"/>
        </w:rPr>
        <w:t xml:space="preserve"> „bei denjenigen, die Steurklassen nachweisen = bei den Steuerpflichtigen“</w:t>
      </w:r>
    </w:p>
  </w:footnote>
  <w:footnote w:id="7">
    <w:p w14:paraId="13E3667C" w14:textId="7FE2614F" w:rsidR="00145B9B" w:rsidRPr="00145B9B" w:rsidRDefault="00145B9B" w:rsidP="00145B9B">
      <w:pPr>
        <w:pStyle w:val="Funotentext"/>
        <w:rPr>
          <w:rFonts w:ascii="Alexander" w:hAnsi="Alexander"/>
        </w:rPr>
      </w:pPr>
      <w:r w:rsidRPr="00145B9B">
        <w:rPr>
          <w:rStyle w:val="Funotenzeichen"/>
          <w:rFonts w:ascii="Alexander" w:hAnsi="Alexander"/>
        </w:rPr>
        <w:footnoteRef/>
      </w:r>
      <w:r w:rsidRPr="00145B9B">
        <w:rPr>
          <w:rFonts w:ascii="Alexander" w:hAnsi="Alexander"/>
        </w:rPr>
        <w:t xml:space="preserve"> </w:t>
      </w:r>
      <w:r w:rsidRPr="00145B9B">
        <w:rPr>
          <w:rFonts w:ascii="Alexander" w:hAnsi="Alexander"/>
          <w:lang w:val="el-GR"/>
        </w:rPr>
        <w:t>οὐχ</w:t>
      </w:r>
      <w:r w:rsidRPr="00145B9B">
        <w:rPr>
          <w:rFonts w:ascii="Alexander" w:hAnsi="Alexander"/>
        </w:rPr>
        <w:t xml:space="preserve"> </w:t>
      </w:r>
      <w:r w:rsidRPr="00145B9B">
        <w:rPr>
          <w:rFonts w:ascii="Alexander" w:hAnsi="Alexander"/>
          <w:lang w:val="el-GR"/>
        </w:rPr>
        <w:t>οἷον</w:t>
      </w:r>
      <w:r w:rsidRPr="00145B9B">
        <w:rPr>
          <w:rFonts w:ascii="Alexander" w:hAnsi="Alexander"/>
        </w:rPr>
        <w:t xml:space="preserve"> ... </w:t>
      </w:r>
      <w:r w:rsidRPr="00145B9B">
        <w:rPr>
          <w:rFonts w:ascii="Alexander" w:hAnsi="Alexander"/>
          <w:lang w:val="el-GR"/>
        </w:rPr>
        <w:t>ἀλλὰ</w:t>
      </w:r>
      <w:r w:rsidRPr="00145B9B">
        <w:rPr>
          <w:rFonts w:ascii="Alexander" w:hAnsi="Alexander"/>
        </w:rPr>
        <w:t xml:space="preserve"> </w:t>
      </w:r>
      <w:r w:rsidRPr="00145B9B">
        <w:rPr>
          <w:rFonts w:ascii="Alexander" w:hAnsi="Alexander"/>
          <w:lang w:val="el-GR"/>
        </w:rPr>
        <w:t>καί</w:t>
      </w:r>
      <w:r w:rsidRPr="00145B9B">
        <w:rPr>
          <w:rFonts w:ascii="Alexander" w:hAnsi="Alexander"/>
        </w:rPr>
        <w:t xml:space="preserve"> „nicht wie … sondern sogar = nicht nur nicht, sondern sogar“</w:t>
      </w:r>
    </w:p>
  </w:footnote>
  <w:footnote w:id="8">
    <w:p w14:paraId="2A20A92B" w14:textId="4815D342" w:rsidR="00145B9B" w:rsidRPr="00145B9B" w:rsidRDefault="00145B9B">
      <w:pPr>
        <w:pStyle w:val="Funotentext"/>
        <w:rPr>
          <w:rFonts w:ascii="Alexander" w:hAnsi="Alexander"/>
        </w:rPr>
      </w:pPr>
      <w:r w:rsidRPr="00145B9B">
        <w:rPr>
          <w:rStyle w:val="Funotenzeichen"/>
          <w:rFonts w:ascii="Alexander" w:hAnsi="Alexander"/>
        </w:rPr>
        <w:footnoteRef/>
      </w:r>
      <w:r w:rsidRPr="00145B9B">
        <w:rPr>
          <w:rFonts w:ascii="Alexander" w:hAnsi="Alexander"/>
        </w:rPr>
        <w:t xml:space="preserve"> </w:t>
      </w:r>
      <w:r w:rsidRPr="00145B9B">
        <w:rPr>
          <w:rFonts w:ascii="Alexander" w:hAnsi="Alexander"/>
          <w:lang w:val="el-GR"/>
        </w:rPr>
        <w:t>τῶν</w:t>
      </w:r>
      <w:r w:rsidRPr="00145B9B">
        <w:rPr>
          <w:rFonts w:ascii="Alexander" w:hAnsi="Alexander"/>
        </w:rPr>
        <w:t xml:space="preserve"> </w:t>
      </w:r>
      <w:r w:rsidRPr="00145B9B">
        <w:rPr>
          <w:rFonts w:ascii="Alexander" w:hAnsi="Alexander"/>
          <w:lang w:val="el-GR"/>
        </w:rPr>
        <w:t>οἰκείων</w:t>
      </w:r>
      <w:r w:rsidRPr="00145B9B">
        <w:rPr>
          <w:rFonts w:ascii="Alexander" w:hAnsi="Alexander"/>
        </w:rPr>
        <w:t xml:space="preserve"> Gen.part. „von ihrem Eigenen, von ihrem Besitz“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0"/>
    <w:rsid w:val="000070DA"/>
    <w:rsid w:val="0001315D"/>
    <w:rsid w:val="00050B66"/>
    <w:rsid w:val="000678D3"/>
    <w:rsid w:val="00071222"/>
    <w:rsid w:val="00144DB0"/>
    <w:rsid w:val="00145B9B"/>
    <w:rsid w:val="00152478"/>
    <w:rsid w:val="00155616"/>
    <w:rsid w:val="0015699D"/>
    <w:rsid w:val="001813D7"/>
    <w:rsid w:val="001A53BA"/>
    <w:rsid w:val="001C6B15"/>
    <w:rsid w:val="0028771C"/>
    <w:rsid w:val="002B6836"/>
    <w:rsid w:val="002B7360"/>
    <w:rsid w:val="002E2C54"/>
    <w:rsid w:val="00355B3D"/>
    <w:rsid w:val="00366555"/>
    <w:rsid w:val="003A2702"/>
    <w:rsid w:val="003B5D7D"/>
    <w:rsid w:val="004125C3"/>
    <w:rsid w:val="004F25AA"/>
    <w:rsid w:val="005069DE"/>
    <w:rsid w:val="00516670"/>
    <w:rsid w:val="00575168"/>
    <w:rsid w:val="00595860"/>
    <w:rsid w:val="005A08C2"/>
    <w:rsid w:val="006070F3"/>
    <w:rsid w:val="00642140"/>
    <w:rsid w:val="00654A8F"/>
    <w:rsid w:val="00693A61"/>
    <w:rsid w:val="00731DF4"/>
    <w:rsid w:val="00734EEC"/>
    <w:rsid w:val="00735AD8"/>
    <w:rsid w:val="00763112"/>
    <w:rsid w:val="00784D79"/>
    <w:rsid w:val="007D1FD4"/>
    <w:rsid w:val="007D2D06"/>
    <w:rsid w:val="007D4B6E"/>
    <w:rsid w:val="007E1055"/>
    <w:rsid w:val="00897690"/>
    <w:rsid w:val="0097628B"/>
    <w:rsid w:val="00A07488"/>
    <w:rsid w:val="00A44E1F"/>
    <w:rsid w:val="00A56D36"/>
    <w:rsid w:val="00AA31B2"/>
    <w:rsid w:val="00AF28F2"/>
    <w:rsid w:val="00AF437D"/>
    <w:rsid w:val="00B24833"/>
    <w:rsid w:val="00B717C3"/>
    <w:rsid w:val="00BD7BE6"/>
    <w:rsid w:val="00C121C8"/>
    <w:rsid w:val="00C33818"/>
    <w:rsid w:val="00C6466D"/>
    <w:rsid w:val="00C70D85"/>
    <w:rsid w:val="00C77539"/>
    <w:rsid w:val="00D07A2A"/>
    <w:rsid w:val="00D16A6A"/>
    <w:rsid w:val="00D21B6C"/>
    <w:rsid w:val="00DE34F1"/>
    <w:rsid w:val="00E96714"/>
    <w:rsid w:val="00EE5397"/>
    <w:rsid w:val="00F44823"/>
    <w:rsid w:val="00F730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BB67"/>
  <w15:chartTrackingRefBased/>
  <w15:docId w15:val="{FB416907-CFC1-42BE-B803-106A3CB1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555"/>
  </w:style>
  <w:style w:type="paragraph" w:styleId="berschrift1">
    <w:name w:val="heading 1"/>
    <w:basedOn w:val="Standard"/>
    <w:next w:val="Standard"/>
    <w:link w:val="berschrift1Zchn"/>
    <w:uiPriority w:val="9"/>
    <w:qFormat/>
    <w:rsid w:val="002B7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7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73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73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736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73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736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B736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736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73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73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736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736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736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B736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736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B736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736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B736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73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7360"/>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736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B736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7360"/>
    <w:rPr>
      <w:i/>
      <w:iCs/>
      <w:color w:val="404040" w:themeColor="text1" w:themeTint="BF"/>
    </w:rPr>
  </w:style>
  <w:style w:type="paragraph" w:styleId="Listenabsatz">
    <w:name w:val="List Paragraph"/>
    <w:basedOn w:val="Standard"/>
    <w:uiPriority w:val="34"/>
    <w:qFormat/>
    <w:rsid w:val="002B7360"/>
    <w:pPr>
      <w:ind w:left="720"/>
      <w:contextualSpacing/>
    </w:pPr>
  </w:style>
  <w:style w:type="character" w:styleId="IntensiveHervorhebung">
    <w:name w:val="Intense Emphasis"/>
    <w:basedOn w:val="Absatz-Standardschriftart"/>
    <w:uiPriority w:val="21"/>
    <w:qFormat/>
    <w:rsid w:val="002B7360"/>
    <w:rPr>
      <w:i/>
      <w:iCs/>
      <w:color w:val="0F4761" w:themeColor="accent1" w:themeShade="BF"/>
    </w:rPr>
  </w:style>
  <w:style w:type="paragraph" w:styleId="IntensivesZitat">
    <w:name w:val="Intense Quote"/>
    <w:basedOn w:val="Standard"/>
    <w:next w:val="Standard"/>
    <w:link w:val="IntensivesZitatZchn"/>
    <w:uiPriority w:val="30"/>
    <w:qFormat/>
    <w:rsid w:val="002B7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7360"/>
    <w:rPr>
      <w:i/>
      <w:iCs/>
      <w:color w:val="0F4761" w:themeColor="accent1" w:themeShade="BF"/>
    </w:rPr>
  </w:style>
  <w:style w:type="character" w:styleId="IntensiverVerweis">
    <w:name w:val="Intense Reference"/>
    <w:basedOn w:val="Absatz-Standardschriftart"/>
    <w:uiPriority w:val="32"/>
    <w:qFormat/>
    <w:rsid w:val="002B7360"/>
    <w:rPr>
      <w:b/>
      <w:bCs/>
      <w:smallCaps/>
      <w:color w:val="0F4761" w:themeColor="accent1" w:themeShade="BF"/>
      <w:spacing w:val="5"/>
    </w:rPr>
  </w:style>
  <w:style w:type="paragraph" w:styleId="Funotentext">
    <w:name w:val="footnote text"/>
    <w:basedOn w:val="Standard"/>
    <w:link w:val="FunotentextZchn"/>
    <w:uiPriority w:val="99"/>
    <w:semiHidden/>
    <w:unhideWhenUsed/>
    <w:rsid w:val="00B24833"/>
    <w:pPr>
      <w:spacing w:after="0"/>
    </w:pPr>
    <w:rPr>
      <w:sz w:val="20"/>
      <w:szCs w:val="20"/>
    </w:rPr>
  </w:style>
  <w:style w:type="character" w:customStyle="1" w:styleId="FunotentextZchn">
    <w:name w:val="Fußnotentext Zchn"/>
    <w:basedOn w:val="Absatz-Standardschriftart"/>
    <w:link w:val="Funotentext"/>
    <w:uiPriority w:val="99"/>
    <w:semiHidden/>
    <w:rsid w:val="00B24833"/>
    <w:rPr>
      <w:sz w:val="20"/>
      <w:szCs w:val="20"/>
    </w:rPr>
  </w:style>
  <w:style w:type="character" w:styleId="Funotenzeichen">
    <w:name w:val="footnote reference"/>
    <w:basedOn w:val="Absatz-Standardschriftart"/>
    <w:uiPriority w:val="99"/>
    <w:semiHidden/>
    <w:unhideWhenUsed/>
    <w:rsid w:val="00B24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145C-FD0B-40EA-9AB2-E3BFC7AB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3186</Characters>
  <Application>Microsoft Office Word</Application>
  <DocSecurity>0</DocSecurity>
  <Lines>42</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cp:lastModifiedBy>
  <cp:revision>21</cp:revision>
  <dcterms:created xsi:type="dcterms:W3CDTF">2025-10-30T08:03:00Z</dcterms:created>
  <dcterms:modified xsi:type="dcterms:W3CDTF">2025-11-01T22:10:00Z</dcterms:modified>
</cp:coreProperties>
</file>