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1A4E" w14:textId="53DEE101" w:rsidR="003A3ADB" w:rsidRPr="003A3ADB" w:rsidRDefault="00110E1C" w:rsidP="003A3ADB">
      <w:pPr>
        <w:ind w:left="0" w:firstLine="0"/>
        <w:jc w:val="center"/>
        <w:rPr>
          <w:sz w:val="44"/>
          <w:szCs w:val="44"/>
        </w:rPr>
      </w:pPr>
      <w:r>
        <w:rPr>
          <w:sz w:val="44"/>
          <w:szCs w:val="44"/>
        </w:rPr>
        <w:t xml:space="preserve">E06.17 </w:t>
      </w:r>
      <w:r w:rsidR="003A3ADB" w:rsidRPr="003A3ADB">
        <w:rPr>
          <w:sz w:val="44"/>
          <w:szCs w:val="44"/>
          <w:lang w:val="el-GR"/>
        </w:rPr>
        <w:t>Ἀθηναίων</w:t>
      </w:r>
      <w:r w:rsidR="003A3ADB" w:rsidRPr="003A3ADB">
        <w:rPr>
          <w:sz w:val="44"/>
          <w:szCs w:val="44"/>
        </w:rPr>
        <w:t xml:space="preserve"> </w:t>
      </w:r>
      <w:r w:rsidR="003A3ADB" w:rsidRPr="003A3ADB">
        <w:rPr>
          <w:sz w:val="44"/>
          <w:szCs w:val="44"/>
          <w:lang w:val="el-GR"/>
        </w:rPr>
        <w:t>πολιτεία</w:t>
      </w:r>
      <w:r w:rsidR="003A3ADB" w:rsidRPr="003A3ADB">
        <w:rPr>
          <w:sz w:val="44"/>
          <w:szCs w:val="44"/>
        </w:rPr>
        <w:t xml:space="preserve"> </w:t>
      </w:r>
      <w:r w:rsidR="003A3ADB">
        <w:rPr>
          <w:sz w:val="44"/>
          <w:szCs w:val="44"/>
        </w:rPr>
        <w:t>35</w:t>
      </w:r>
      <w:r w:rsidR="00E529D6">
        <w:rPr>
          <w:sz w:val="44"/>
          <w:szCs w:val="44"/>
        </w:rPr>
        <w:t>-</w:t>
      </w:r>
      <w:r w:rsidR="00420B8A">
        <w:rPr>
          <w:sz w:val="44"/>
          <w:szCs w:val="44"/>
        </w:rPr>
        <w:t>3</w:t>
      </w:r>
      <w:r w:rsidR="001F5510">
        <w:rPr>
          <w:sz w:val="44"/>
          <w:szCs w:val="44"/>
        </w:rPr>
        <w:t>7</w:t>
      </w:r>
      <w:r w:rsidR="00420B8A">
        <w:rPr>
          <w:sz w:val="44"/>
          <w:szCs w:val="44"/>
        </w:rPr>
        <w:t>,1</w:t>
      </w:r>
    </w:p>
    <w:p w14:paraId="71BF2BAF" w14:textId="77777777" w:rsidR="00420B8A" w:rsidRDefault="00420B8A" w:rsidP="00420B8A">
      <w:pPr>
        <w:ind w:left="0" w:firstLine="0"/>
      </w:pPr>
      <w:r w:rsidRPr="00813648">
        <w:rPr>
          <w:b/>
          <w:bCs/>
        </w:rPr>
        <w:t>XXXV</w:t>
      </w:r>
      <w:r>
        <w:rPr>
          <w:b/>
          <w:bCs/>
        </w:rPr>
        <w:t xml:space="preserve"> </w:t>
      </w:r>
      <w:r w:rsidRPr="00813648">
        <w:t>Οἱ μὲν οὖν τριάκοντα τοῦτον τὸν τρόπον κατέστησαν ἐπὶ Πυθοδώρου ἄρχοντος. γενόμενοι δὲ κύριοι τῆς πόλεως, τὰ μὲν ἄλλα τὰ δόξαντα περὶ τῆς πολιτείας παρεώρων, πεντακοσίους δὲ βουλευτὰς καὶ τὰς ἄλλας ἀρχὰς καταστήσαντες ἐκ προκρίτων</w:t>
      </w:r>
      <w:r>
        <w:t xml:space="preserve"> </w:t>
      </w:r>
      <w:r w:rsidRPr="00813648">
        <w:t xml:space="preserve">χιλίων, καὶ προσελόμενοι σφίσιν αὐτοῖς τοῦ Πειραιέως ἄρχοντας δέκα, καὶ τοῦ δεσμωτηρίου φύλακας ἕνδεκα, καὶ μαστιγοφόρους τριακοσίους ὑπηρέτας κατεῖχον τὴν πόλιν δι´ ἑαυτῶν. </w:t>
      </w:r>
    </w:p>
    <w:p w14:paraId="6CB43F4C" w14:textId="0414E8CD" w:rsidR="00813648" w:rsidRPr="00033223" w:rsidRDefault="00813648" w:rsidP="008D199E">
      <w:pPr>
        <w:ind w:left="0" w:firstLine="0"/>
      </w:pPr>
      <w:r w:rsidRPr="00813648">
        <w:t>τὸ μὲν οὖν πρῶτον μέτριοι τοῖς πολίταις ἦσαν καὶ προσεποιοῦντο διώκειν τὴν πάτριον πολιτείαν, καὶ τούς τ´ Ἐφιάλτου</w:t>
      </w:r>
      <w:r w:rsidR="005A0F12">
        <w:rPr>
          <w:rStyle w:val="Funotenzeichen"/>
        </w:rPr>
        <w:footnoteReference w:id="1"/>
      </w:r>
      <w:r w:rsidRPr="00813648">
        <w:t xml:space="preserve"> καὶ Ἀρχεστράτου νόμους τοὺς περὶ τῶν Ἀρεοπαγιτῶν καθεῖλον ἐξ Ἀρείου πάγου</w:t>
      </w:r>
      <w:r w:rsidR="00A85FF1">
        <w:rPr>
          <w:rStyle w:val="Funotenzeichen"/>
        </w:rPr>
        <w:footnoteReference w:id="2"/>
      </w:r>
      <w:r w:rsidRPr="00813648">
        <w:t xml:space="preserve">, καὶ τῶν Σόλωνος θεσμῶν ὅσοι διαμφισβητήσεις ἔσχον, καὶ τὸ κῦρος ὃ ἦν ἐν τοῖς δικασταῖς κατέλυσαν, ὡς </w:t>
      </w:r>
      <w:r w:rsidRPr="002B1866">
        <w:t>ἐπανορθοῦντες</w:t>
      </w:r>
      <w:r w:rsidRPr="00813648">
        <w:t xml:space="preserve"> καὶ ποιοῦντες ἀναμφισβήτητον τὴν πολιτείαν, οἷον </w:t>
      </w:r>
      <w:r w:rsidR="00062A5C">
        <w:t>&lt;</w:t>
      </w:r>
      <w:r w:rsidRPr="00813648">
        <w:t>τὸν</w:t>
      </w:r>
      <w:r w:rsidR="00062A5C">
        <w:t>&gt;</w:t>
      </w:r>
      <w:r w:rsidR="00685461">
        <w:rPr>
          <w:rStyle w:val="Funotenzeichen"/>
        </w:rPr>
        <w:footnoteReference w:id="3"/>
      </w:r>
      <w:r w:rsidR="00685461">
        <w:t xml:space="preserve"> </w:t>
      </w:r>
      <w:r w:rsidRPr="00813648">
        <w:t>περὶ τοῦ δοῦναι τὰ ἑαυτοῦ ᾧ ἂν ἐθέλῃ κύριον ποιήσαντες καθάπαξ· τὰς δὲ προσούσας δυσκολίας, ‘ἐὰν μὴ μανιῶν ἢ γηρῶν ἢ γυναικὶ πιθόμενος’, ἀφεῖλον ὅπως μὴ ᾖ τοῖς συκοφάνταις ἔφοδος· ὁμοίως δὲ τοῦτ´ ἔδρων καὶ ἐπὶ τῶν ἄλλων.</w:t>
      </w:r>
      <w:r w:rsidR="0032592D">
        <w:br/>
      </w:r>
      <w:r w:rsidRPr="00813648">
        <w:t>κατ´ ἀρχὰς μὲν οὖν ταῦτ´ ἐποίουν, καὶ τοὺς συκοφάντας καὶ τοὺς τῷ δήμῳ πρὸς χάριν ὁμιλοῦντας παρὰ τὸ βέλτιστον καὶ κακοπράγμονας ὄντας καὶ πονηροὺς ἀνῄρουν, ἐφ´ οἷς ἔχαιρεν ἡ πόλις γιγνομένοις, ἡγούμενοι</w:t>
      </w:r>
      <w:r w:rsidR="00597835">
        <w:rPr>
          <w:rStyle w:val="Funotenzeichen"/>
        </w:rPr>
        <w:footnoteReference w:id="4"/>
      </w:r>
      <w:r w:rsidRPr="00813648">
        <w:t xml:space="preserve"> τοῦ βελτίστου χάριν ποιεῖν αὐτούς. ἐπεὶ δὲ τὴν πόλιν ἐγκρατέστερον ἔσχον, οὐδενὸς ἀπείχοντο τῶν πολιτῶν, ἀλλ´ ἀπέκτειναν τοὺς καὶ ταῖς οὐσίαις καὶ τῷ γένει καὶ τοῖς ἀξιώμασιν προέχοντας, ὑπεξαιρο</w:t>
      </w:r>
      <w:r w:rsidR="002B1866" w:rsidRPr="002B1866">
        <w:tab/>
      </w:r>
      <w:r w:rsidRPr="00813648">
        <w:t>ύμενοί τε τὸν φόβον καὶ βουλόμενοι τὰς οὐσίας διαρπάζειν. καὶ χρόνου διαπεσόντος βραχέος, οὐκ ἐλάττους ἀνῃρήκεσαν ἢ χιλίους πεντακοσίους.</w:t>
      </w:r>
      <w:r w:rsidR="0032592D">
        <w:br/>
      </w:r>
      <w:r w:rsidRPr="00813648">
        <w:rPr>
          <w:b/>
          <w:bCs/>
        </w:rPr>
        <w:t>XXXVI</w:t>
      </w:r>
      <w:r>
        <w:rPr>
          <w:b/>
          <w:bCs/>
        </w:rPr>
        <w:t xml:space="preserve"> </w:t>
      </w:r>
      <w:r w:rsidRPr="00813648">
        <w:t xml:space="preserve">Οὕτως δὲ τῆς πόλεως ὑποφερομένης, Θηραμένης ἀγανακτῶν ἐπὶ τοῖς γιγνομένοις, τῆς μὲν ἀσελγείας αὐτοῖς παρῄνει παύσασθαι, μεταδοῦναι δὲ τῶν πραγμάτων τοῖς </w:t>
      </w:r>
      <w:r w:rsidRPr="00AC77FF">
        <w:t>βελτίστοις</w:t>
      </w:r>
      <w:r w:rsidRPr="00813648">
        <w:t xml:space="preserve">. οἱ δὲ πρῶτον ἐναντιωθέντες, ἐπεὶ διεσπάρησαν οἱ λόγοι πρὸς τὸ πλῆθος καὶ πρὸς τὸν Θηραμένην οἰκείως εἶχον οἱ πολλοί, φοβηθέντες μὴ προστάτης γενόμενος τοῦ δήμου καταλύσῃ τὴν δυναστείαν, </w:t>
      </w:r>
      <w:r w:rsidRPr="00F83730">
        <w:t>καταλέγουσιν</w:t>
      </w:r>
      <w:r w:rsidRPr="00AC77FF">
        <w:rPr>
          <w:color w:val="EE0000"/>
        </w:rPr>
        <w:t xml:space="preserve"> </w:t>
      </w:r>
      <w:r w:rsidRPr="00813648">
        <w:t>τῶν πολιτῶν τρισχιλίους, ὡς μεταδώσοντες τῆς πολιτείας.</w:t>
      </w:r>
      <w:r w:rsidR="0032592D">
        <w:br/>
      </w:r>
      <w:r w:rsidRPr="00813648">
        <w:t>Θηραμένης δὲ πάλιν ἐπιτιμᾷ</w:t>
      </w:r>
      <w:r w:rsidR="00113442">
        <w:rPr>
          <w:rStyle w:val="Funotenzeichen"/>
        </w:rPr>
        <w:footnoteReference w:id="5"/>
      </w:r>
      <w:r w:rsidRPr="00813648">
        <w:t xml:space="preserve"> καὶ τούτοις, πρῶτον μὲν ὅτι βουλόμενοι μεταδοῦναι τοῖς ἐπιεικέσι</w:t>
      </w:r>
      <w:r w:rsidR="00113442">
        <w:rPr>
          <w:rStyle w:val="Funotenzeichen"/>
        </w:rPr>
        <w:footnoteReference w:id="6"/>
      </w:r>
      <w:r w:rsidRPr="00813648">
        <w:t xml:space="preserve"> τρισχιλίοις μόνοις μεταδιδόασι, ὡς</w:t>
      </w:r>
      <w:r w:rsidR="00113442">
        <w:rPr>
          <w:rStyle w:val="Funotenzeichen"/>
        </w:rPr>
        <w:footnoteReference w:id="7"/>
      </w:r>
      <w:r w:rsidRPr="00813648">
        <w:t xml:space="preserve"> ἐν τούτῳ τῷ πλήθει τῆς ἀρετῆς ὡρισμένης, ἔπειθ´ ὅτι δύο τὰ ἐναντιώτατα ποιοῦσιν, βίαιόν τε τὴν ἀρχὴν καὶ τῶν ἀρχομένων ἥττω κατασκευάζοντες. οἱ δὲ τούτων μὲν ὠλιγώρησαν, τὸν δὲ κατάλογον τῶν τρισχιλίων πολὺν μὲν χρόνον ὑπερεβάλλοντο καὶ παρ´ αὑτοῖς ἐφύλαττον</w:t>
      </w:r>
      <w:r w:rsidR="0095121B">
        <w:rPr>
          <w:rStyle w:val="Funotenzeichen"/>
        </w:rPr>
        <w:footnoteReference w:id="8"/>
      </w:r>
      <w:r w:rsidRPr="00813648">
        <w:t xml:space="preserve"> τοὺς </w:t>
      </w:r>
      <w:r w:rsidRPr="00071106">
        <w:t>ἐγνωσμένους</w:t>
      </w:r>
      <w:r w:rsidRPr="00813648">
        <w:t xml:space="preserve">, ὅτε δὲ καὶ δόξειεν αὐτοῖς ἐκφέρειν, τοὺς μὲν ἐξήλειφον τῶν </w:t>
      </w:r>
      <w:r w:rsidR="00853395">
        <w:rPr>
          <w:rFonts w:ascii="MS Gothic" w:eastAsia="MS Gothic" w:hAnsi="MS Gothic" w:cs="MS Gothic"/>
        </w:rPr>
        <w:t>&lt;</w:t>
      </w:r>
      <w:r w:rsidRPr="00813648">
        <w:t>ἐγ</w:t>
      </w:r>
      <w:r w:rsidR="00853395">
        <w:rPr>
          <w:rFonts w:ascii="MS Gothic" w:eastAsia="MS Gothic" w:hAnsi="MS Gothic" w:cs="MS Gothic"/>
        </w:rPr>
        <w:t>&gt;</w:t>
      </w:r>
      <w:r w:rsidRPr="00813648">
        <w:t>γεγραμμένων, τοὺς δ´ ἀντενέγραφον τῶν ἔξωθεν.</w:t>
      </w:r>
      <w:r w:rsidR="0032592D">
        <w:br/>
      </w:r>
      <w:r w:rsidRPr="00813648">
        <w:rPr>
          <w:b/>
          <w:bCs/>
        </w:rPr>
        <w:t>XXXVII</w:t>
      </w:r>
      <w:r>
        <w:rPr>
          <w:b/>
          <w:bCs/>
        </w:rPr>
        <w:t xml:space="preserve"> </w:t>
      </w:r>
      <w:r w:rsidRPr="00813648">
        <w:t>Ἤδη δὲ τοῦ χειμῶνος ἐνεστῶτος, καταλαβόντος Θρασυβούλου μετὰ τῶν φυγάδων Φυλήν, καὶ κατὰ τὴν στρατιὰν</w:t>
      </w:r>
      <w:r w:rsidR="00477CAF">
        <w:rPr>
          <w:rStyle w:val="Funotenzeichen"/>
        </w:rPr>
        <w:footnoteReference w:id="9"/>
      </w:r>
      <w:r w:rsidRPr="00813648">
        <w:t xml:space="preserve"> ἣν ἐξήγαγον οἱ τριάκοντα κακῶς ἀποχωρήσαντες, ἔγνωσαν τῶν μὲν ἄλλων τὰ ὅπλα παρελέσθαι, Θηραμένην δὲ διαφθεῖραι τόνδε </w:t>
      </w:r>
      <w:r w:rsidR="00477CAF">
        <w:rPr>
          <w:rFonts w:ascii="MS Gothic" w:eastAsia="MS Gothic" w:hAnsi="MS Gothic" w:cs="MS Gothic"/>
        </w:rPr>
        <w:t>&lt;</w:t>
      </w:r>
      <w:r w:rsidRPr="00813648">
        <w:t>τὸν</w:t>
      </w:r>
      <w:r w:rsidR="005332E2" w:rsidRPr="005332E2">
        <w:rPr>
          <w:rFonts w:ascii="MS Gothic" w:eastAsia="MS Gothic" w:hAnsi="MS Gothic" w:cs="MS Gothic"/>
        </w:rPr>
        <w:t xml:space="preserve">&gt; </w:t>
      </w:r>
      <w:r w:rsidRPr="00813648">
        <w:t>τρόπον· νόμους εἰσήνεγκαν εἰς τὴν βουλὴν δύο κελεύοντες ἐπιχειροτονεῖν, ὧν ὁ μὲν εἷς αὐτοκράτορας ἐποίει τοὺς τριάκοντα, τῶν πολιτῶν ἀποκτεῖναι τοὺς μὴ τοῦ καταλόγου μετέχοντας τῶν τρισχιλίων, ὁ δ´ ἕτερος ἐκώλυε κοινωνεῖν τῆς παρούσης πολιτείας, ὅσοι τυγχάνουσιν τὸ ἐν Ἠετιωνείᾳ</w:t>
      </w:r>
      <w:r w:rsidR="004A4F9E">
        <w:rPr>
          <w:rStyle w:val="Funotenzeichen"/>
        </w:rPr>
        <w:footnoteReference w:id="10"/>
      </w:r>
      <w:r w:rsidRPr="00813648">
        <w:t xml:space="preserve"> τεῖχος κατασκάψαντες, ἢ τοῖς τετρακοσίοις ἐναντίον τι πράξαντες </w:t>
      </w:r>
      <w:r w:rsidR="004A4F9E">
        <w:rPr>
          <w:rFonts w:ascii="MS Gothic" w:eastAsia="MS Gothic" w:hAnsi="MS Gothic" w:cs="MS Gothic"/>
        </w:rPr>
        <w:t>[</w:t>
      </w:r>
      <w:r w:rsidRPr="00813648">
        <w:t>ἢ</w:t>
      </w:r>
      <w:r w:rsidR="004A4F9E">
        <w:rPr>
          <w:rFonts w:ascii="MS Gothic" w:eastAsia="MS Gothic" w:hAnsi="MS Gothic" w:cs="MS Gothic"/>
        </w:rPr>
        <w:t>]</w:t>
      </w:r>
      <w:r w:rsidRPr="00813648">
        <w:t xml:space="preserve">τοῖς κατασκευάσασι τὴν προτέραν ὀλιγαρχίαν· ὧν ἐτύγχανεν ἀμφοτέρων κεκοινωνηκὼς ὁ Θηραμένης, ὥστε συνέβαινεν ἐπικυρωθέντων τῶν νόμων, ἔξω τε γίγνεσθαι τῆς πολιτείας αὐτόν, καὶ τοὺς τριάκοντα κυρίους εἶναι </w:t>
      </w:r>
      <w:r w:rsidR="00D535F0">
        <w:rPr>
          <w:lang w:val="el-GR"/>
        </w:rPr>
        <w:t>θ</w:t>
      </w:r>
      <w:r w:rsidRPr="00813648">
        <w:t>ανατοῦντας.</w:t>
      </w:r>
    </w:p>
    <w:sectPr w:rsidR="00813648" w:rsidRPr="00033223" w:rsidSect="001F5510">
      <w:pgSz w:w="11906" w:h="16838" w:code="9"/>
      <w:pgMar w:top="709" w:right="566"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CBB1" w14:textId="77777777" w:rsidR="006A1C20" w:rsidRDefault="006A1C20" w:rsidP="00472F9A">
      <w:pPr>
        <w:spacing w:after="0"/>
      </w:pPr>
      <w:r>
        <w:separator/>
      </w:r>
    </w:p>
  </w:endnote>
  <w:endnote w:type="continuationSeparator" w:id="0">
    <w:p w14:paraId="338E7477" w14:textId="77777777" w:rsidR="006A1C20" w:rsidRDefault="006A1C20" w:rsidP="00472F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exander">
    <w:panose1 w:val="02020602090805090A03"/>
    <w:charset w:val="00"/>
    <w:family w:val="roman"/>
    <w:pitch w:val="variable"/>
    <w:sig w:usb0="E00002FF" w:usb1="5200F8DB" w:usb2="05000021"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1B4D" w14:textId="77777777" w:rsidR="006A1C20" w:rsidRDefault="006A1C20" w:rsidP="00472F9A">
      <w:pPr>
        <w:spacing w:after="0"/>
      </w:pPr>
      <w:r>
        <w:separator/>
      </w:r>
    </w:p>
  </w:footnote>
  <w:footnote w:type="continuationSeparator" w:id="0">
    <w:p w14:paraId="604FA7A3" w14:textId="77777777" w:rsidR="006A1C20" w:rsidRDefault="006A1C20" w:rsidP="00472F9A">
      <w:pPr>
        <w:spacing w:after="0"/>
      </w:pPr>
      <w:r>
        <w:continuationSeparator/>
      </w:r>
    </w:p>
  </w:footnote>
  <w:footnote w:id="1">
    <w:p w14:paraId="48CFEE90" w14:textId="139FD9DA" w:rsidR="005A0F12" w:rsidRPr="005A0F12" w:rsidRDefault="005A0F12" w:rsidP="00CF060A">
      <w:pPr>
        <w:pStyle w:val="Funotentext"/>
        <w:ind w:left="142" w:hanging="142"/>
      </w:pPr>
      <w:r>
        <w:rPr>
          <w:rStyle w:val="Funotenzeichen"/>
        </w:rPr>
        <w:footnoteRef/>
      </w:r>
      <w:r>
        <w:t xml:space="preserve"> </w:t>
      </w:r>
      <w:r w:rsidRPr="00CF060A">
        <w:rPr>
          <w:rFonts w:ascii="Alexander" w:hAnsi="Alexander"/>
          <w:sz w:val="18"/>
          <w:szCs w:val="18"/>
          <w:lang w:val="el-GR"/>
        </w:rPr>
        <w:t>Ἐφιάλτης</w:t>
      </w:r>
      <w:r w:rsidRPr="00CF060A">
        <w:rPr>
          <w:rFonts w:ascii="Alexander" w:hAnsi="Alexander"/>
          <w:sz w:val="18"/>
          <w:szCs w:val="18"/>
        </w:rPr>
        <w:t xml:space="preserve">: </w:t>
      </w:r>
      <w:r w:rsidR="00FC6222" w:rsidRPr="00CF060A">
        <w:rPr>
          <w:rFonts w:ascii="Alexander" w:hAnsi="Alexander"/>
          <w:sz w:val="18"/>
          <w:szCs w:val="18"/>
        </w:rPr>
        <w:t xml:space="preserve"> Unter ihm wurde </w:t>
      </w:r>
      <w:r w:rsidR="00195567">
        <w:rPr>
          <w:rFonts w:ascii="Alexander" w:hAnsi="Alexander"/>
          <w:sz w:val="18"/>
          <w:szCs w:val="18"/>
        </w:rPr>
        <w:t xml:space="preserve">461/2 </w:t>
      </w:r>
      <w:r w:rsidR="00FC6222" w:rsidRPr="00CF060A">
        <w:rPr>
          <w:rFonts w:ascii="Alexander" w:hAnsi="Alexander"/>
          <w:sz w:val="18"/>
          <w:szCs w:val="18"/>
        </w:rPr>
        <w:t xml:space="preserve">die Staatsverwaltung und weitgehend auch die Judikative weitgehend </w:t>
      </w:r>
      <w:r w:rsidR="00CF060A" w:rsidRPr="00CF060A">
        <w:rPr>
          <w:rFonts w:ascii="Alexander" w:hAnsi="Alexander"/>
          <w:sz w:val="18"/>
          <w:szCs w:val="18"/>
        </w:rPr>
        <w:t xml:space="preserve">dem aristokratisch besetzten Areopag </w:t>
      </w:r>
      <w:r w:rsidR="00FC6222" w:rsidRPr="00CF060A">
        <w:rPr>
          <w:rFonts w:ascii="Alexander" w:hAnsi="Alexander"/>
          <w:sz w:val="18"/>
          <w:szCs w:val="18"/>
        </w:rPr>
        <w:t xml:space="preserve">entzogen </w:t>
      </w:r>
      <w:r w:rsidR="00CF060A" w:rsidRPr="00CF060A">
        <w:rPr>
          <w:rFonts w:ascii="Alexander" w:hAnsi="Alexander"/>
          <w:sz w:val="18"/>
          <w:szCs w:val="18"/>
        </w:rPr>
        <w:t>und</w:t>
      </w:r>
      <w:r w:rsidR="00FC6222" w:rsidRPr="00CF060A">
        <w:rPr>
          <w:rFonts w:ascii="Alexander" w:hAnsi="Alexander"/>
          <w:sz w:val="18"/>
          <w:szCs w:val="18"/>
        </w:rPr>
        <w:t xml:space="preserve"> auf die Volksversammlung, den Rat der 500 und die Heliaia übertragen. </w:t>
      </w:r>
      <w:r w:rsidR="00CF060A" w:rsidRPr="00CF060A">
        <w:rPr>
          <w:rFonts w:ascii="Alexander" w:hAnsi="Alexander"/>
          <w:sz w:val="18"/>
          <w:szCs w:val="18"/>
        </w:rPr>
        <w:t>Ein wichtiger Schritt in der Herausbildung der Demokratie.</w:t>
      </w:r>
    </w:p>
  </w:footnote>
  <w:footnote w:id="2">
    <w:p w14:paraId="3509FC5B" w14:textId="0B1761D0" w:rsidR="00A85FF1" w:rsidRDefault="00A85FF1">
      <w:pPr>
        <w:pStyle w:val="Funotentext"/>
      </w:pPr>
      <w:r>
        <w:rPr>
          <w:rStyle w:val="Funotenzeichen"/>
        </w:rPr>
        <w:footnoteRef/>
      </w:r>
      <w:r>
        <w:t xml:space="preserve"> </w:t>
      </w:r>
      <w:r w:rsidRPr="00A85FF1">
        <w:rPr>
          <w:rFonts w:ascii="Alexander" w:hAnsi="Alexander"/>
          <w:sz w:val="18"/>
          <w:szCs w:val="18"/>
        </w:rPr>
        <w:t>ἐξ Ἀρείου πάγου: Die Gesetze waren in der Stoa Basilike auf der Agora aufgestellt, die</w:t>
      </w:r>
      <w:r w:rsidR="00585B9A">
        <w:rPr>
          <w:rFonts w:ascii="Alexander" w:hAnsi="Alexander"/>
          <w:sz w:val="18"/>
          <w:szCs w:val="18"/>
        </w:rPr>
        <w:t>jenigen</w:t>
      </w:r>
      <w:r w:rsidRPr="00A85FF1">
        <w:rPr>
          <w:rFonts w:ascii="Alexander" w:hAnsi="Alexander"/>
          <w:sz w:val="18"/>
          <w:szCs w:val="18"/>
        </w:rPr>
        <w:t xml:space="preserve"> über den Areopag wohl auch dort</w:t>
      </w:r>
      <w:r>
        <w:rPr>
          <w:rFonts w:ascii="Alexander" w:hAnsi="Alexander"/>
          <w:sz w:val="18"/>
          <w:szCs w:val="18"/>
        </w:rPr>
        <w:t>.</w:t>
      </w:r>
    </w:p>
  </w:footnote>
  <w:footnote w:id="3">
    <w:p w14:paraId="426B0E23" w14:textId="045899F7" w:rsidR="00685461" w:rsidRPr="00685461" w:rsidRDefault="00685461" w:rsidP="00685461">
      <w:pPr>
        <w:pStyle w:val="Funotentext"/>
      </w:pPr>
      <w:r>
        <w:rPr>
          <w:rStyle w:val="Funotenzeichen"/>
        </w:rPr>
        <w:footnoteRef/>
      </w:r>
      <w:r>
        <w:t xml:space="preserve"> </w:t>
      </w:r>
      <w:r w:rsidRPr="00685461">
        <w:rPr>
          <w:rFonts w:ascii="Alexander" w:hAnsi="Alexander"/>
          <w:sz w:val="18"/>
          <w:szCs w:val="18"/>
        </w:rPr>
        <w:t xml:space="preserve">οἷον &lt;τὸν&gt; </w:t>
      </w:r>
      <w:r w:rsidR="00D55718">
        <w:rPr>
          <w:rFonts w:ascii="Alexander" w:hAnsi="Alexander"/>
          <w:sz w:val="18"/>
          <w:szCs w:val="18"/>
          <w:lang w:val="el-GR"/>
        </w:rPr>
        <w:t>περὶ</w:t>
      </w:r>
      <w:r w:rsidR="00D55718" w:rsidRPr="00D55718">
        <w:rPr>
          <w:rFonts w:ascii="Alexander" w:hAnsi="Alexander"/>
          <w:sz w:val="18"/>
          <w:szCs w:val="18"/>
        </w:rPr>
        <w:t xml:space="preserve"> ... </w:t>
      </w:r>
      <w:r w:rsidRPr="00685461">
        <w:rPr>
          <w:rFonts w:ascii="Alexander" w:hAnsi="Alexander"/>
          <w:sz w:val="18"/>
          <w:szCs w:val="18"/>
        </w:rPr>
        <w:t xml:space="preserve">erg. </w:t>
      </w:r>
      <w:r w:rsidRPr="00685461">
        <w:rPr>
          <w:rFonts w:ascii="Alexander" w:hAnsi="Alexander"/>
          <w:sz w:val="18"/>
          <w:szCs w:val="18"/>
          <w:lang w:val="el-GR"/>
        </w:rPr>
        <w:t>θεσμόν</w:t>
      </w:r>
      <w:r w:rsidRPr="00685461">
        <w:rPr>
          <w:rFonts w:ascii="Alexander" w:hAnsi="Alexander"/>
          <w:sz w:val="18"/>
          <w:szCs w:val="18"/>
        </w:rPr>
        <w:t xml:space="preserve"> … „wie sie z.B. das Gesetz über … </w:t>
      </w:r>
      <w:r w:rsidR="005F3359">
        <w:rPr>
          <w:rFonts w:ascii="Alexander" w:hAnsi="Alexander"/>
          <w:sz w:val="18"/>
          <w:szCs w:val="18"/>
        </w:rPr>
        <w:t xml:space="preserve">vollständig </w:t>
      </w:r>
      <w:r w:rsidRPr="00685461">
        <w:rPr>
          <w:rFonts w:ascii="Alexander" w:hAnsi="Alexander"/>
          <w:sz w:val="18"/>
          <w:szCs w:val="18"/>
        </w:rPr>
        <w:t>gültig machten“</w:t>
      </w:r>
    </w:p>
  </w:footnote>
  <w:footnote w:id="4">
    <w:p w14:paraId="7E29530A" w14:textId="0D37244B" w:rsidR="00597835" w:rsidRPr="00113442" w:rsidRDefault="00597835">
      <w:pPr>
        <w:pStyle w:val="Funotentext"/>
        <w:rPr>
          <w:rFonts w:ascii="Alexander" w:hAnsi="Alexander"/>
          <w:sz w:val="18"/>
          <w:szCs w:val="18"/>
        </w:rPr>
      </w:pPr>
      <w:r>
        <w:rPr>
          <w:rStyle w:val="Funotenzeichen"/>
        </w:rPr>
        <w:footnoteRef/>
      </w:r>
      <w:r>
        <w:t xml:space="preserve"> </w:t>
      </w:r>
      <w:r w:rsidRPr="00113442">
        <w:rPr>
          <w:rFonts w:ascii="Alexander" w:hAnsi="Alexander"/>
          <w:sz w:val="18"/>
          <w:szCs w:val="18"/>
        </w:rPr>
        <w:t xml:space="preserve">ἡγούμενοι: bezieht sich auf πόλις, als stünde da πολῖται: constructio ad sensum </w:t>
      </w:r>
    </w:p>
  </w:footnote>
  <w:footnote w:id="5">
    <w:p w14:paraId="2519722E" w14:textId="3EB85325" w:rsidR="00113442" w:rsidRPr="00113442" w:rsidRDefault="00113442">
      <w:pPr>
        <w:pStyle w:val="Funotentext"/>
      </w:pPr>
      <w:r>
        <w:rPr>
          <w:rStyle w:val="Funotenzeichen"/>
        </w:rPr>
        <w:footnoteRef/>
      </w:r>
      <w:r>
        <w:t xml:space="preserve"> </w:t>
      </w:r>
      <w:r w:rsidRPr="00113442">
        <w:rPr>
          <w:rFonts w:ascii="Alexander" w:hAnsi="Alexander"/>
          <w:sz w:val="18"/>
          <w:szCs w:val="18"/>
        </w:rPr>
        <w:t>ἐπιτιμάω τινί hier</w:t>
      </w:r>
      <w:r>
        <w:rPr>
          <w:rFonts w:ascii="Alexander" w:hAnsi="Alexander"/>
          <w:sz w:val="18"/>
          <w:szCs w:val="18"/>
        </w:rPr>
        <w:t>:</w:t>
      </w:r>
      <w:r w:rsidRPr="00113442">
        <w:rPr>
          <w:rFonts w:ascii="Alexander" w:hAnsi="Alexander"/>
          <w:sz w:val="18"/>
          <w:szCs w:val="18"/>
        </w:rPr>
        <w:t xml:space="preserve"> „etwas tadeln“</w:t>
      </w:r>
    </w:p>
  </w:footnote>
  <w:footnote w:id="6">
    <w:p w14:paraId="4A7BF969" w14:textId="3AF7BB4D" w:rsidR="00113442" w:rsidRDefault="00113442">
      <w:pPr>
        <w:pStyle w:val="Funotentext"/>
      </w:pPr>
      <w:r>
        <w:rPr>
          <w:rStyle w:val="Funotenzeichen"/>
        </w:rPr>
        <w:footnoteRef/>
      </w:r>
      <w:r>
        <w:t xml:space="preserve"> </w:t>
      </w:r>
      <w:r w:rsidRPr="00113442">
        <w:rPr>
          <w:rFonts w:ascii="Alexander" w:hAnsi="Alexander"/>
          <w:sz w:val="18"/>
          <w:szCs w:val="18"/>
        </w:rPr>
        <w:t>τοῖς ἐπιεικέσι: zu μεταδοῦναι; das folgende τρισχιλίοις μόνοις zu μεταδιδόασι</w:t>
      </w:r>
    </w:p>
  </w:footnote>
  <w:footnote w:id="7">
    <w:p w14:paraId="4286473C" w14:textId="316304B5" w:rsidR="00113442" w:rsidRDefault="00113442">
      <w:pPr>
        <w:pStyle w:val="Funotentext"/>
      </w:pPr>
      <w:r>
        <w:rPr>
          <w:rStyle w:val="Funotenzeichen"/>
        </w:rPr>
        <w:footnoteRef/>
      </w:r>
      <w:r>
        <w:t xml:space="preserve"> </w:t>
      </w:r>
      <w:r w:rsidRPr="00113442">
        <w:rPr>
          <w:rFonts w:ascii="Alexander" w:hAnsi="Alexander"/>
          <w:sz w:val="18"/>
          <w:szCs w:val="18"/>
        </w:rPr>
        <w:t>ὡς + Part. hier: „als ob“</w:t>
      </w:r>
    </w:p>
  </w:footnote>
  <w:footnote w:id="8">
    <w:p w14:paraId="2FFA01C3" w14:textId="6F231275" w:rsidR="0095121B" w:rsidRDefault="0095121B">
      <w:pPr>
        <w:pStyle w:val="Funotentext"/>
      </w:pPr>
      <w:r>
        <w:rPr>
          <w:rStyle w:val="Funotenzeichen"/>
        </w:rPr>
        <w:footnoteRef/>
      </w:r>
      <w:r>
        <w:t xml:space="preserve"> </w:t>
      </w:r>
      <w:r w:rsidRPr="0095121B">
        <w:rPr>
          <w:rFonts w:ascii="Alexander" w:hAnsi="Alexander"/>
          <w:sz w:val="18"/>
          <w:szCs w:val="18"/>
        </w:rPr>
        <w:t>ἐφύλαττον hier: „</w:t>
      </w:r>
      <w:r w:rsidR="00585B9A">
        <w:rPr>
          <w:rFonts w:ascii="Alexander" w:hAnsi="Alexander"/>
          <w:sz w:val="18"/>
          <w:szCs w:val="18"/>
        </w:rPr>
        <w:t xml:space="preserve">bewachen = </w:t>
      </w:r>
      <w:r w:rsidRPr="0095121B">
        <w:rPr>
          <w:rFonts w:ascii="Alexander" w:hAnsi="Alexander"/>
          <w:sz w:val="18"/>
          <w:szCs w:val="18"/>
        </w:rPr>
        <w:t>geheimhalten“</w:t>
      </w:r>
    </w:p>
  </w:footnote>
  <w:footnote w:id="9">
    <w:p w14:paraId="666BC294" w14:textId="7BFE78CA" w:rsidR="00477CAF" w:rsidRDefault="00477CAF">
      <w:pPr>
        <w:pStyle w:val="Funotentext"/>
      </w:pPr>
      <w:r>
        <w:rPr>
          <w:rStyle w:val="Funotenzeichen"/>
        </w:rPr>
        <w:footnoteRef/>
      </w:r>
      <w:r>
        <w:t xml:space="preserve"> </w:t>
      </w:r>
      <w:r w:rsidRPr="00477CAF">
        <w:rPr>
          <w:rFonts w:ascii="Alexander" w:hAnsi="Alexander"/>
          <w:sz w:val="18"/>
          <w:szCs w:val="18"/>
        </w:rPr>
        <w:t>κατὰ τὴν στρατιάν etwa</w:t>
      </w:r>
      <w:r>
        <w:rPr>
          <w:rFonts w:ascii="Alexander" w:hAnsi="Alexander"/>
          <w:sz w:val="18"/>
          <w:szCs w:val="18"/>
        </w:rPr>
        <w:t>:</w:t>
      </w:r>
      <w:r w:rsidRPr="00477CAF">
        <w:rPr>
          <w:rFonts w:ascii="Alexander" w:hAnsi="Alexander"/>
          <w:sz w:val="18"/>
          <w:szCs w:val="18"/>
        </w:rPr>
        <w:t xml:space="preserve"> „mit dem Heer“</w:t>
      </w:r>
    </w:p>
  </w:footnote>
  <w:footnote w:id="10">
    <w:p w14:paraId="3933DA31" w14:textId="28C83EB0" w:rsidR="004A4F9E" w:rsidRPr="004A4F9E" w:rsidRDefault="004A4F9E" w:rsidP="00CE2197">
      <w:pPr>
        <w:pStyle w:val="Funotentext"/>
        <w:ind w:left="142" w:hanging="216"/>
      </w:pPr>
      <w:r>
        <w:rPr>
          <w:rStyle w:val="Funotenzeichen"/>
        </w:rPr>
        <w:footnoteRef/>
      </w:r>
      <w:r>
        <w:t xml:space="preserve"> </w:t>
      </w:r>
      <w:r w:rsidRPr="004A4F9E">
        <w:rPr>
          <w:rFonts w:ascii="Alexander" w:hAnsi="Alexander"/>
          <w:sz w:val="18"/>
          <w:szCs w:val="18"/>
        </w:rPr>
        <w:t>Ἠετιώνεια</w:t>
      </w:r>
      <w:r w:rsidR="00071106">
        <w:rPr>
          <w:rFonts w:ascii="Alexander" w:hAnsi="Alexander"/>
          <w:sz w:val="18"/>
          <w:szCs w:val="18"/>
        </w:rPr>
        <w:t xml:space="preserve">: </w:t>
      </w:r>
      <w:r w:rsidRPr="004A4F9E">
        <w:rPr>
          <w:rFonts w:ascii="Alexander" w:hAnsi="Alexander"/>
          <w:sz w:val="18"/>
          <w:szCs w:val="18"/>
        </w:rPr>
        <w:t>an dieser Landzunge am Eingang zum tiefen Hafen von Piräus hatten die Aristokraten 411 ein Fort bauen lassen, um die Einfahrt der demokratisch</w:t>
      </w:r>
      <w:r w:rsidR="00071106">
        <w:rPr>
          <w:rFonts w:ascii="Alexander" w:hAnsi="Alexander"/>
          <w:sz w:val="18"/>
          <w:szCs w:val="18"/>
        </w:rPr>
        <w:t xml:space="preserve"> gesinnten</w:t>
      </w:r>
      <w:r w:rsidRPr="004A4F9E">
        <w:rPr>
          <w:rFonts w:ascii="Alexander" w:hAnsi="Alexander"/>
          <w:sz w:val="18"/>
          <w:szCs w:val="18"/>
        </w:rPr>
        <w:t xml:space="preserve"> athenischen Flotte zu verhindern.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CA"/>
    <w:rsid w:val="0001424E"/>
    <w:rsid w:val="00033223"/>
    <w:rsid w:val="00034B92"/>
    <w:rsid w:val="00045E34"/>
    <w:rsid w:val="00062A5C"/>
    <w:rsid w:val="00071106"/>
    <w:rsid w:val="000956AD"/>
    <w:rsid w:val="000C308E"/>
    <w:rsid w:val="000C3515"/>
    <w:rsid w:val="000D76E9"/>
    <w:rsid w:val="00110E1C"/>
    <w:rsid w:val="00113442"/>
    <w:rsid w:val="0013227D"/>
    <w:rsid w:val="001528A7"/>
    <w:rsid w:val="00177872"/>
    <w:rsid w:val="00195567"/>
    <w:rsid w:val="001A7C16"/>
    <w:rsid w:val="001C6B15"/>
    <w:rsid w:val="001F5510"/>
    <w:rsid w:val="00234AF1"/>
    <w:rsid w:val="002475BC"/>
    <w:rsid w:val="002545C9"/>
    <w:rsid w:val="00257EF8"/>
    <w:rsid w:val="00274ACA"/>
    <w:rsid w:val="002A721D"/>
    <w:rsid w:val="002B1866"/>
    <w:rsid w:val="002C4AF6"/>
    <w:rsid w:val="002E26C8"/>
    <w:rsid w:val="003145C9"/>
    <w:rsid w:val="0032592D"/>
    <w:rsid w:val="00326136"/>
    <w:rsid w:val="00341A00"/>
    <w:rsid w:val="0038553D"/>
    <w:rsid w:val="003A3ADB"/>
    <w:rsid w:val="003C5A80"/>
    <w:rsid w:val="003D4FA7"/>
    <w:rsid w:val="003D6208"/>
    <w:rsid w:val="004125C3"/>
    <w:rsid w:val="00420B8A"/>
    <w:rsid w:val="00447F87"/>
    <w:rsid w:val="004559A8"/>
    <w:rsid w:val="00472F9A"/>
    <w:rsid w:val="00477CAF"/>
    <w:rsid w:val="004A4F9E"/>
    <w:rsid w:val="004A5B70"/>
    <w:rsid w:val="004B3468"/>
    <w:rsid w:val="005069DE"/>
    <w:rsid w:val="00516670"/>
    <w:rsid w:val="005332E2"/>
    <w:rsid w:val="005619A1"/>
    <w:rsid w:val="00575784"/>
    <w:rsid w:val="00575AB8"/>
    <w:rsid w:val="00585B9A"/>
    <w:rsid w:val="00595860"/>
    <w:rsid w:val="00597835"/>
    <w:rsid w:val="005A0F12"/>
    <w:rsid w:val="005A1F8B"/>
    <w:rsid w:val="005F3359"/>
    <w:rsid w:val="005F5F24"/>
    <w:rsid w:val="006070F3"/>
    <w:rsid w:val="00642140"/>
    <w:rsid w:val="00654A8F"/>
    <w:rsid w:val="00661E9A"/>
    <w:rsid w:val="00667743"/>
    <w:rsid w:val="00680BEA"/>
    <w:rsid w:val="006817FC"/>
    <w:rsid w:val="00685461"/>
    <w:rsid w:val="00693A61"/>
    <w:rsid w:val="006A1C20"/>
    <w:rsid w:val="006F1E85"/>
    <w:rsid w:val="00763112"/>
    <w:rsid w:val="007671E0"/>
    <w:rsid w:val="007A370D"/>
    <w:rsid w:val="007A7DBD"/>
    <w:rsid w:val="007B17F7"/>
    <w:rsid w:val="007D1FD4"/>
    <w:rsid w:val="007D4B6E"/>
    <w:rsid w:val="007E4F37"/>
    <w:rsid w:val="00813648"/>
    <w:rsid w:val="00841C21"/>
    <w:rsid w:val="00853395"/>
    <w:rsid w:val="00890C14"/>
    <w:rsid w:val="00897690"/>
    <w:rsid w:val="008B6530"/>
    <w:rsid w:val="008D0EF5"/>
    <w:rsid w:val="008D199E"/>
    <w:rsid w:val="008E1FAE"/>
    <w:rsid w:val="0092670A"/>
    <w:rsid w:val="00934F8E"/>
    <w:rsid w:val="0095121B"/>
    <w:rsid w:val="009529F8"/>
    <w:rsid w:val="0097628B"/>
    <w:rsid w:val="009974F3"/>
    <w:rsid w:val="009A2F6D"/>
    <w:rsid w:val="009C5576"/>
    <w:rsid w:val="00A44E1F"/>
    <w:rsid w:val="00A60477"/>
    <w:rsid w:val="00A71AB5"/>
    <w:rsid w:val="00A852E5"/>
    <w:rsid w:val="00A85FF1"/>
    <w:rsid w:val="00A954CF"/>
    <w:rsid w:val="00AA5814"/>
    <w:rsid w:val="00AC77FF"/>
    <w:rsid w:val="00B07122"/>
    <w:rsid w:val="00B33288"/>
    <w:rsid w:val="00B670BA"/>
    <w:rsid w:val="00B76880"/>
    <w:rsid w:val="00BE5196"/>
    <w:rsid w:val="00C02C29"/>
    <w:rsid w:val="00C121C8"/>
    <w:rsid w:val="00C4068E"/>
    <w:rsid w:val="00CA7864"/>
    <w:rsid w:val="00CD019A"/>
    <w:rsid w:val="00CE2197"/>
    <w:rsid w:val="00CF060A"/>
    <w:rsid w:val="00D16A6A"/>
    <w:rsid w:val="00D43E2F"/>
    <w:rsid w:val="00D535F0"/>
    <w:rsid w:val="00D55718"/>
    <w:rsid w:val="00D60FEF"/>
    <w:rsid w:val="00D6217C"/>
    <w:rsid w:val="00DD632A"/>
    <w:rsid w:val="00E529D6"/>
    <w:rsid w:val="00EE07A8"/>
    <w:rsid w:val="00EF6FE2"/>
    <w:rsid w:val="00F44679"/>
    <w:rsid w:val="00F83730"/>
    <w:rsid w:val="00FC6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22B3"/>
  <w15:chartTrackingRefBased/>
  <w15:docId w15:val="{9D3CBA52-AD8D-4CCC-AB01-1C559069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4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4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4A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4A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4AC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4A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4AC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74AC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4AC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4A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4A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4AC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4AC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4AC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74AC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4AC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74AC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4AC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74AC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4A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4ACA"/>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4AC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74AC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74ACA"/>
    <w:rPr>
      <w:i/>
      <w:iCs/>
      <w:color w:val="404040" w:themeColor="text1" w:themeTint="BF"/>
    </w:rPr>
  </w:style>
  <w:style w:type="paragraph" w:styleId="Listenabsatz">
    <w:name w:val="List Paragraph"/>
    <w:basedOn w:val="Standard"/>
    <w:uiPriority w:val="34"/>
    <w:qFormat/>
    <w:rsid w:val="00274ACA"/>
    <w:pPr>
      <w:ind w:left="720"/>
      <w:contextualSpacing/>
    </w:pPr>
  </w:style>
  <w:style w:type="character" w:styleId="IntensiveHervorhebung">
    <w:name w:val="Intense Emphasis"/>
    <w:basedOn w:val="Absatz-Standardschriftart"/>
    <w:uiPriority w:val="21"/>
    <w:qFormat/>
    <w:rsid w:val="00274ACA"/>
    <w:rPr>
      <w:i/>
      <w:iCs/>
      <w:color w:val="0F4761" w:themeColor="accent1" w:themeShade="BF"/>
    </w:rPr>
  </w:style>
  <w:style w:type="paragraph" w:styleId="IntensivesZitat">
    <w:name w:val="Intense Quote"/>
    <w:basedOn w:val="Standard"/>
    <w:next w:val="Standard"/>
    <w:link w:val="IntensivesZitatZchn"/>
    <w:uiPriority w:val="30"/>
    <w:qFormat/>
    <w:rsid w:val="00274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4ACA"/>
    <w:rPr>
      <w:i/>
      <w:iCs/>
      <w:color w:val="0F4761" w:themeColor="accent1" w:themeShade="BF"/>
    </w:rPr>
  </w:style>
  <w:style w:type="character" w:styleId="IntensiverVerweis">
    <w:name w:val="Intense Reference"/>
    <w:basedOn w:val="Absatz-Standardschriftart"/>
    <w:uiPriority w:val="32"/>
    <w:qFormat/>
    <w:rsid w:val="00274ACA"/>
    <w:rPr>
      <w:b/>
      <w:bCs/>
      <w:smallCaps/>
      <w:color w:val="0F4761" w:themeColor="accent1" w:themeShade="BF"/>
      <w:spacing w:val="5"/>
    </w:rPr>
  </w:style>
  <w:style w:type="paragraph" w:styleId="Funotentext">
    <w:name w:val="footnote text"/>
    <w:basedOn w:val="Standard"/>
    <w:link w:val="FunotentextZchn"/>
    <w:uiPriority w:val="99"/>
    <w:semiHidden/>
    <w:unhideWhenUsed/>
    <w:rsid w:val="00472F9A"/>
    <w:pPr>
      <w:spacing w:after="0"/>
    </w:pPr>
    <w:rPr>
      <w:sz w:val="20"/>
      <w:szCs w:val="20"/>
    </w:rPr>
  </w:style>
  <w:style w:type="character" w:customStyle="1" w:styleId="FunotentextZchn">
    <w:name w:val="Fußnotentext Zchn"/>
    <w:basedOn w:val="Absatz-Standardschriftart"/>
    <w:link w:val="Funotentext"/>
    <w:uiPriority w:val="99"/>
    <w:semiHidden/>
    <w:rsid w:val="00472F9A"/>
    <w:rPr>
      <w:sz w:val="20"/>
      <w:szCs w:val="20"/>
    </w:rPr>
  </w:style>
  <w:style w:type="character" w:styleId="Funotenzeichen">
    <w:name w:val="footnote reference"/>
    <w:basedOn w:val="Absatz-Standardschriftart"/>
    <w:uiPriority w:val="99"/>
    <w:semiHidden/>
    <w:unhideWhenUsed/>
    <w:rsid w:val="00472F9A"/>
    <w:rPr>
      <w:vertAlign w:val="superscript"/>
    </w:rPr>
  </w:style>
  <w:style w:type="character" w:styleId="Hyperlink">
    <w:name w:val="Hyperlink"/>
    <w:basedOn w:val="Absatz-Standardschriftart"/>
    <w:uiPriority w:val="99"/>
    <w:unhideWhenUsed/>
    <w:rsid w:val="00575784"/>
    <w:rPr>
      <w:color w:val="467886" w:themeColor="hyperlink"/>
      <w:u w:val="single"/>
    </w:rPr>
  </w:style>
  <w:style w:type="character" w:styleId="NichtaufgelsteErwhnung">
    <w:name w:val="Unresolved Mention"/>
    <w:basedOn w:val="Absatz-Standardschriftart"/>
    <w:uiPriority w:val="99"/>
    <w:semiHidden/>
    <w:unhideWhenUsed/>
    <w:rsid w:val="00575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DFF15-1899-4E9C-B695-84992A3B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2856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dc:creator>
  <cp:keywords/>
  <dc:description/>
  <cp:lastModifiedBy>Friedrich Holtiegel</cp:lastModifiedBy>
  <cp:revision>28</cp:revision>
  <dcterms:created xsi:type="dcterms:W3CDTF">2025-10-26T16:31:00Z</dcterms:created>
  <dcterms:modified xsi:type="dcterms:W3CDTF">2025-12-07T23:21:00Z</dcterms:modified>
</cp:coreProperties>
</file>